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96" w:rsidRPr="00045A24" w:rsidRDefault="00EA5537" w:rsidP="00D85234">
      <w:pPr>
        <w:spacing w:before="480" w:after="480"/>
        <w:jc w:val="center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382D8" wp14:editId="2CFF4B32">
                <wp:simplePos x="0" y="0"/>
                <wp:positionH relativeFrom="column">
                  <wp:posOffset>95250</wp:posOffset>
                </wp:positionH>
                <wp:positionV relativeFrom="paragraph">
                  <wp:posOffset>64135</wp:posOffset>
                </wp:positionV>
                <wp:extent cx="2295525" cy="290403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5525" cy="290403"/>
                          <a:chOff x="0" y="108"/>
                          <a:chExt cx="31226" cy="436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versity of San Franc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6"/>
                            <a:ext cx="15431" cy="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University of San Franc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6" y="108"/>
                            <a:ext cx="15240" cy="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.5pt;margin-top:5.05pt;width:180.75pt;height:22.85pt;z-index:251659264;mso-height-relative:margin" coordorigin=",108" coordsize="31226,43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versity of San Francisco" style="position:absolute;top:286;width:1543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mU3BAAAA2gAAAA8AAABkcnMvZG93bnJldi54bWxEj0GLwjAUhO+C/yE8YS+i6QrKUo2lCAur&#10;h0W7gtdH82yKzUtpotZ/vxEEj8PMfMOsst424kadrx0r+JwmIIhLp2uuFBz/vidfIHxA1tg4JgUP&#10;8pCth4MVptrd+UC3IlQiQtinqMCE0KZS+tKQRT91LXH0zq6zGKLsKqk7vEe4beQsSRbSYs1xwWBL&#10;G0PlpbhaBRqLfXPV5vi7xVM+nvtFvdU7pT5Gfb4EEagP7/Cr/aMVzOB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ZmU3BAAAA2gAAAA8AAAAAAAAAAAAAAAAAnwIA&#10;AGRycy9kb3ducmV2LnhtbFBLBQYAAAAABAAEAPcAAACNAwAAAAA=&#10;" insetpen="t">
                  <v:imagedata r:id="rId11" o:title="University of San Francisco"/>
                </v:shape>
                <v:shape id="Picture 3" o:spid="_x0000_s1028" type="#_x0000_t75" alt="University of San Francisco" style="position:absolute;left:15986;top:108;width:15240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GcfDAAAA2gAAAA8AAABkcnMvZG93bnJldi54bWxEj0FrwkAUhO9C/8PyCr2ZjQ0USV2lGCot&#10;FNQoxeMj+0xCs2+X7BrTf+8WCh6HmfmGWaxG04mBet9aVjBLUhDEldUt1wqOh/fpHIQPyBo7y6Tg&#10;lzyslg+TBebaXnlPQxlqESHsc1TQhOByKX3VkEGfWEccvbPtDYYo+1rqHq8Rbjr5nKYv0mDLcaFB&#10;R+uGqp/yYhQUQ/a1KcbT7rg1oXLp96e02in19Di+vYIINIZ7+L/9oRVk8Hcl3g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IZx8MAAADaAAAADwAAAAAAAAAAAAAAAACf&#10;AgAAZHJzL2Rvd25yZXYueG1sUEsFBgAAAAAEAAQA9wAAAI8DAAAAAA==&#10;" insetpen="t">
                  <v:imagedata r:id="rId12" o:title="University of San Francisco"/>
                </v:shape>
              </v:group>
            </w:pict>
          </mc:Fallback>
        </mc:AlternateContent>
      </w:r>
      <w:r w:rsidR="002E6956" w:rsidRPr="00045A24">
        <w:rPr>
          <w:b/>
          <w:smallCaps/>
          <w:sz w:val="28"/>
          <w:szCs w:val="28"/>
        </w:rPr>
        <w:t>Inter</w:t>
      </w:r>
      <w:r w:rsidR="007666BB">
        <w:rPr>
          <w:b/>
          <w:smallCaps/>
          <w:sz w:val="28"/>
          <w:szCs w:val="28"/>
        </w:rPr>
        <w:t>national Summer Externships 201</w:t>
      </w:r>
      <w:r w:rsidR="005F30CB">
        <w:rPr>
          <w:b/>
          <w:smallCaps/>
          <w:sz w:val="28"/>
          <w:szCs w:val="28"/>
        </w:rPr>
        <w:t>8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602"/>
        <w:gridCol w:w="2996"/>
        <w:gridCol w:w="4680"/>
        <w:gridCol w:w="4410"/>
      </w:tblGrid>
      <w:tr w:rsidR="000E3616" w:rsidTr="006A470C">
        <w:tc>
          <w:tcPr>
            <w:tcW w:w="2602" w:type="dxa"/>
            <w:shd w:val="clear" w:color="auto" w:fill="4F6228" w:themeFill="accent3" w:themeFillShade="80"/>
          </w:tcPr>
          <w:p w:rsidR="000E3616" w:rsidRPr="00872B3F" w:rsidRDefault="00872B3F" w:rsidP="00045A24">
            <w:pPr>
              <w:jc w:val="center"/>
              <w:rPr>
                <w:b/>
                <w:smallCaps/>
                <w:color w:val="FFFFFF" w:themeColor="background1"/>
              </w:rPr>
            </w:pPr>
            <w:r w:rsidRPr="00872B3F">
              <w:rPr>
                <w:b/>
                <w:smallCaps/>
                <w:color w:val="FFFFFF" w:themeColor="background1"/>
              </w:rPr>
              <w:t>Location</w:t>
            </w:r>
          </w:p>
        </w:tc>
        <w:tc>
          <w:tcPr>
            <w:tcW w:w="2996" w:type="dxa"/>
            <w:shd w:val="clear" w:color="auto" w:fill="4F6228" w:themeFill="accent3" w:themeFillShade="80"/>
          </w:tcPr>
          <w:p w:rsidR="000E3616" w:rsidRPr="00872B3F" w:rsidRDefault="00872B3F" w:rsidP="00045A24">
            <w:pPr>
              <w:jc w:val="center"/>
              <w:rPr>
                <w:b/>
                <w:smallCaps/>
                <w:color w:val="FFFFFF" w:themeColor="background1"/>
              </w:rPr>
            </w:pPr>
            <w:r w:rsidRPr="00872B3F">
              <w:rPr>
                <w:b/>
                <w:smallCaps/>
                <w:color w:val="FFFFFF" w:themeColor="background1"/>
              </w:rPr>
              <w:t>Director</w:t>
            </w:r>
            <w:r w:rsidR="00416767">
              <w:rPr>
                <w:b/>
                <w:smallCaps/>
                <w:color w:val="FFFFFF" w:themeColor="background1"/>
              </w:rPr>
              <w:t>s</w:t>
            </w:r>
          </w:p>
        </w:tc>
        <w:tc>
          <w:tcPr>
            <w:tcW w:w="4680" w:type="dxa"/>
            <w:shd w:val="clear" w:color="auto" w:fill="4F6228" w:themeFill="accent3" w:themeFillShade="80"/>
          </w:tcPr>
          <w:p w:rsidR="000E3616" w:rsidRPr="00872B3F" w:rsidRDefault="00872B3F" w:rsidP="00045A24">
            <w:pPr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Past &amp; Possible Placements</w:t>
            </w:r>
          </w:p>
        </w:tc>
        <w:tc>
          <w:tcPr>
            <w:tcW w:w="4410" w:type="dxa"/>
            <w:shd w:val="clear" w:color="auto" w:fill="4F6228" w:themeFill="accent3" w:themeFillShade="80"/>
          </w:tcPr>
          <w:p w:rsidR="000E3616" w:rsidRPr="006A470C" w:rsidRDefault="006A470C" w:rsidP="00AF5FB7">
            <w:pPr>
              <w:jc w:val="center"/>
              <w:rPr>
                <w:b/>
                <w:smallCaps/>
                <w:color w:val="FFFFFF" w:themeColor="background1"/>
              </w:rPr>
            </w:pPr>
            <w:r w:rsidRPr="006A470C">
              <w:rPr>
                <w:b/>
                <w:smallCaps/>
                <w:color w:val="FFFFFF" w:themeColor="background1"/>
              </w:rPr>
              <w:t>Work Experience</w:t>
            </w:r>
          </w:p>
        </w:tc>
      </w:tr>
      <w:tr w:rsidR="000E3616" w:rsidTr="006A470C">
        <w:tc>
          <w:tcPr>
            <w:tcW w:w="2602" w:type="dxa"/>
          </w:tcPr>
          <w:p w:rsidR="000E3616" w:rsidRDefault="000E3616" w:rsidP="000E3616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8"/>
                <w:szCs w:val="28"/>
              </w:rPr>
              <w:t>China</w:t>
            </w:r>
            <w:r w:rsidR="00C77A9B">
              <w:rPr>
                <w:b/>
                <w:smallCaps/>
                <w:sz w:val="28"/>
                <w:szCs w:val="28"/>
              </w:rPr>
              <w:t xml:space="preserve"> </w:t>
            </w:r>
            <w:r w:rsidR="00AF5FB7">
              <w:rPr>
                <w:b/>
                <w:smallCaps/>
                <w:sz w:val="28"/>
                <w:szCs w:val="28"/>
              </w:rPr>
              <w:t>–</w:t>
            </w:r>
            <w:r w:rsidR="00C77A9B">
              <w:rPr>
                <w:b/>
                <w:smallCaps/>
                <w:sz w:val="28"/>
                <w:szCs w:val="28"/>
              </w:rPr>
              <w:t xml:space="preserve"> </w:t>
            </w:r>
            <w:r w:rsidR="00C77A9B" w:rsidRPr="007C6E9A">
              <w:rPr>
                <w:b/>
                <w:smallCaps/>
                <w:sz w:val="24"/>
                <w:szCs w:val="24"/>
              </w:rPr>
              <w:t>Beijing</w:t>
            </w:r>
          </w:p>
          <w:p w:rsidR="00AF5FB7" w:rsidRDefault="00A50553" w:rsidP="00AF5FB7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Beijing Foreign Studies University</w:t>
            </w:r>
          </w:p>
          <w:p w:rsidR="003F4A2D" w:rsidRPr="003F4A2D" w:rsidRDefault="00E4508E" w:rsidP="00AF5FB7">
            <w:pPr>
              <w:spacing w:before="120" w:after="120"/>
            </w:pPr>
            <w:r>
              <w:t>June 12</w:t>
            </w:r>
            <w:r w:rsidR="003F4A2D" w:rsidRPr="003F4A2D">
              <w:t xml:space="preserve"> – July </w:t>
            </w:r>
            <w:r>
              <w:t>20</w:t>
            </w:r>
          </w:p>
        </w:tc>
        <w:tc>
          <w:tcPr>
            <w:tcW w:w="2996" w:type="dxa"/>
          </w:tcPr>
          <w:p w:rsidR="000E3616" w:rsidRDefault="007657BF" w:rsidP="002E6956">
            <w:r>
              <w:t>Adjunct Professor and Research Librarian Suzanne Mawhinney</w:t>
            </w:r>
          </w:p>
          <w:p w:rsidR="00CA4A85" w:rsidRDefault="000B0020" w:rsidP="007657BF">
            <w:hyperlink r:id="rId13" w:history="1">
              <w:r w:rsidR="007657BF" w:rsidRPr="00406C89">
                <w:rPr>
                  <w:rStyle w:val="Hyperlink"/>
                </w:rPr>
                <w:t>skmawhinney@usfca.edu</w:t>
              </w:r>
            </w:hyperlink>
          </w:p>
        </w:tc>
        <w:tc>
          <w:tcPr>
            <w:tcW w:w="4680" w:type="dxa"/>
          </w:tcPr>
          <w:p w:rsidR="0081134D" w:rsidRPr="00571BE5" w:rsidRDefault="0081134D" w:rsidP="008113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571BE5">
              <w:rPr>
                <w:rFonts w:cstheme="minorHAnsi"/>
                <w:sz w:val="21"/>
                <w:szCs w:val="21"/>
              </w:rPr>
              <w:t>Sheppard</w:t>
            </w:r>
            <w:r w:rsidR="005F5BB1">
              <w:rPr>
                <w:rFonts w:cstheme="minorHAnsi"/>
                <w:sz w:val="21"/>
                <w:szCs w:val="21"/>
              </w:rPr>
              <w:t>, Mullin, Richter &amp; Hampton LLP</w:t>
            </w:r>
          </w:p>
          <w:p w:rsidR="0081134D" w:rsidRPr="00571BE5" w:rsidRDefault="005F5BB1" w:rsidP="008113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UNITALEN</w:t>
            </w:r>
          </w:p>
          <w:p w:rsidR="00A50553" w:rsidRPr="00571BE5" w:rsidRDefault="0081134D" w:rsidP="007C6E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571BE5">
              <w:rPr>
                <w:rFonts w:cstheme="minorHAnsi"/>
                <w:sz w:val="21"/>
                <w:szCs w:val="21"/>
              </w:rPr>
              <w:t>Reed Smith</w:t>
            </w:r>
          </w:p>
          <w:p w:rsidR="002125AC" w:rsidRPr="007666BB" w:rsidRDefault="002125AC" w:rsidP="00E4508E">
            <w:pPr>
              <w:pStyle w:val="ListParagraph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410" w:type="dxa"/>
          </w:tcPr>
          <w:p w:rsidR="000E3616" w:rsidRPr="004F27CC" w:rsidRDefault="006A470C" w:rsidP="002E6956">
            <w:pPr>
              <w:rPr>
                <w:sz w:val="21"/>
                <w:szCs w:val="21"/>
              </w:rPr>
            </w:pPr>
            <w:r w:rsidRPr="004F27CC">
              <w:rPr>
                <w:sz w:val="21"/>
                <w:szCs w:val="21"/>
              </w:rPr>
              <w:t>Emphasis on international business law</w:t>
            </w:r>
            <w:r w:rsidR="00A50553" w:rsidRPr="004F27CC">
              <w:rPr>
                <w:sz w:val="21"/>
                <w:szCs w:val="21"/>
              </w:rPr>
              <w:t>, cross- border</w:t>
            </w:r>
            <w:r w:rsidRPr="004F27CC">
              <w:rPr>
                <w:sz w:val="21"/>
                <w:szCs w:val="21"/>
              </w:rPr>
              <w:t xml:space="preserve"> </w:t>
            </w:r>
            <w:r w:rsidR="00A50553" w:rsidRPr="004F27CC">
              <w:rPr>
                <w:sz w:val="21"/>
                <w:szCs w:val="21"/>
              </w:rPr>
              <w:t xml:space="preserve">commercial transactions, </w:t>
            </w:r>
            <w:r w:rsidRPr="004F27CC">
              <w:rPr>
                <w:sz w:val="21"/>
                <w:szCs w:val="21"/>
              </w:rPr>
              <w:t>and intellectual property law.</w:t>
            </w:r>
          </w:p>
        </w:tc>
      </w:tr>
      <w:tr w:rsidR="009F2A72" w:rsidTr="006A470C">
        <w:tc>
          <w:tcPr>
            <w:tcW w:w="2602" w:type="dxa"/>
          </w:tcPr>
          <w:p w:rsidR="009F2A72" w:rsidRDefault="009F2A72" w:rsidP="009F2A72">
            <w:pPr>
              <w:spacing w:after="12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8"/>
                <w:szCs w:val="28"/>
              </w:rPr>
              <w:t xml:space="preserve">Czech Republic – </w:t>
            </w:r>
            <w:r>
              <w:rPr>
                <w:b/>
                <w:smallCaps/>
                <w:sz w:val="24"/>
                <w:szCs w:val="24"/>
              </w:rPr>
              <w:t>Prague and Brno</w:t>
            </w:r>
          </w:p>
          <w:p w:rsidR="003F4A2D" w:rsidRDefault="003F4A2D" w:rsidP="003F4A2D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Charles University, Prague</w:t>
            </w:r>
          </w:p>
          <w:p w:rsidR="00AD2490" w:rsidRPr="003F4A2D" w:rsidRDefault="00E4508E" w:rsidP="003F4A2D">
            <w:pPr>
              <w:spacing w:after="120"/>
              <w:rPr>
                <w:b/>
                <w:smallCaps/>
                <w:sz w:val="28"/>
                <w:szCs w:val="28"/>
              </w:rPr>
            </w:pPr>
            <w:r>
              <w:t>June 12 – July 20</w:t>
            </w:r>
          </w:p>
        </w:tc>
        <w:tc>
          <w:tcPr>
            <w:tcW w:w="2996" w:type="dxa"/>
          </w:tcPr>
          <w:p w:rsidR="004F27CC" w:rsidRDefault="00AD2490" w:rsidP="00AD2490">
            <w:r>
              <w:t>Professor</w:t>
            </w:r>
            <w:r w:rsidR="00C822DB">
              <w:t xml:space="preserve"> Jack</w:t>
            </w:r>
            <w:r>
              <w:t xml:space="preserve"> Garvey</w:t>
            </w:r>
          </w:p>
          <w:p w:rsidR="00AD2490" w:rsidRDefault="000B0020" w:rsidP="00AD2490">
            <w:hyperlink r:id="rId14" w:history="1">
              <w:r w:rsidR="00AD2490" w:rsidRPr="00CD4D5B">
                <w:rPr>
                  <w:rStyle w:val="Hyperlink"/>
                </w:rPr>
                <w:t>garveyj@usfca.edu</w:t>
              </w:r>
            </w:hyperlink>
          </w:p>
          <w:p w:rsidR="00AD2490" w:rsidRDefault="00AD2490" w:rsidP="00AD2490"/>
        </w:tc>
        <w:tc>
          <w:tcPr>
            <w:tcW w:w="4680" w:type="dxa"/>
          </w:tcPr>
          <w:p w:rsidR="0081134D" w:rsidRPr="00571BE5" w:rsidRDefault="005F5BB1" w:rsidP="004F27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Deloitte</w:t>
            </w:r>
          </w:p>
          <w:p w:rsidR="00B81F7B" w:rsidRPr="00571BE5" w:rsidRDefault="00B81F7B" w:rsidP="004F27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 w:rsidRPr="00571BE5">
              <w:rPr>
                <w:rFonts w:cstheme="minorHAnsi"/>
                <w:sz w:val="21"/>
                <w:szCs w:val="21"/>
              </w:rPr>
              <w:t>Dentons</w:t>
            </w:r>
            <w:proofErr w:type="spellEnd"/>
          </w:p>
          <w:p w:rsidR="0081134D" w:rsidRPr="00571BE5" w:rsidRDefault="005F5BB1" w:rsidP="004F27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PricewaterhouseCoopers (PwC)</w:t>
            </w:r>
          </w:p>
          <w:p w:rsidR="004F27CC" w:rsidRPr="00571BE5" w:rsidRDefault="004F27CC" w:rsidP="004F27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571BE5">
              <w:rPr>
                <w:rFonts w:cstheme="minorHAnsi"/>
                <w:sz w:val="21"/>
                <w:szCs w:val="21"/>
              </w:rPr>
              <w:t>Supreme Administrative Court (Brno)</w:t>
            </w:r>
          </w:p>
          <w:p w:rsidR="009F2A72" w:rsidRPr="00571BE5" w:rsidRDefault="004F27CC" w:rsidP="003B14D4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theme="minorHAnsi"/>
                <w:color w:val="444444"/>
                <w:sz w:val="21"/>
                <w:szCs w:val="21"/>
              </w:rPr>
            </w:pPr>
            <w:r w:rsidRPr="00571BE5">
              <w:rPr>
                <w:rFonts w:cstheme="minorHAnsi"/>
                <w:sz w:val="21"/>
                <w:szCs w:val="21"/>
              </w:rPr>
              <w:t>Czech Constitutional Court (Brno)</w:t>
            </w:r>
          </w:p>
          <w:p w:rsidR="0081134D" w:rsidRDefault="0081134D" w:rsidP="0081134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571BE5">
              <w:rPr>
                <w:rFonts w:cstheme="minorHAnsi"/>
                <w:sz w:val="21"/>
                <w:szCs w:val="21"/>
              </w:rPr>
              <w:t xml:space="preserve">Havel </w:t>
            </w:r>
            <w:proofErr w:type="spellStart"/>
            <w:r w:rsidRPr="00571BE5">
              <w:rPr>
                <w:rFonts w:cstheme="minorHAnsi"/>
                <w:sz w:val="21"/>
                <w:szCs w:val="21"/>
              </w:rPr>
              <w:t>H</w:t>
            </w:r>
            <w:r w:rsidR="005F5BB1">
              <w:rPr>
                <w:rFonts w:cstheme="minorHAnsi"/>
                <w:sz w:val="21"/>
                <w:szCs w:val="21"/>
              </w:rPr>
              <w:t>olasek</w:t>
            </w:r>
            <w:proofErr w:type="spellEnd"/>
            <w:r w:rsidR="005F5BB1">
              <w:rPr>
                <w:rFonts w:cstheme="minorHAnsi"/>
                <w:sz w:val="21"/>
                <w:szCs w:val="21"/>
              </w:rPr>
              <w:t xml:space="preserve"> (largest Czech law firm)</w:t>
            </w:r>
          </w:p>
          <w:p w:rsidR="00CB5E42" w:rsidRPr="00CB5E42" w:rsidRDefault="00E4508E" w:rsidP="00E450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444444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PRK Partners</w:t>
            </w:r>
          </w:p>
        </w:tc>
        <w:tc>
          <w:tcPr>
            <w:tcW w:w="4410" w:type="dxa"/>
          </w:tcPr>
          <w:p w:rsidR="009F2A72" w:rsidRPr="004F27CC" w:rsidRDefault="00687FFE" w:rsidP="00687F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Exposure to</w:t>
            </w:r>
            <w:r w:rsidR="004F27CC" w:rsidRPr="004F27CC">
              <w:rPr>
                <w:sz w:val="21"/>
                <w:szCs w:val="21"/>
              </w:rPr>
              <w:t xml:space="preserve"> business legal practice</w:t>
            </w:r>
            <w:r w:rsidR="002C0E39">
              <w:rPr>
                <w:sz w:val="21"/>
                <w:szCs w:val="21"/>
              </w:rPr>
              <w:t>s</w:t>
            </w:r>
            <w:r w:rsidR="004F27CC" w:rsidRPr="004F27C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both under the European Union and</w:t>
            </w:r>
            <w:r w:rsidR="004F27CC" w:rsidRPr="004F27CC">
              <w:rPr>
                <w:sz w:val="21"/>
                <w:szCs w:val="21"/>
              </w:rPr>
              <w:t xml:space="preserve"> international law</w:t>
            </w:r>
            <w:r w:rsidR="007666BB">
              <w:rPr>
                <w:sz w:val="21"/>
                <w:szCs w:val="21"/>
              </w:rPr>
              <w:t xml:space="preserve"> and</w:t>
            </w:r>
            <w:r>
              <w:rPr>
                <w:sz w:val="21"/>
                <w:szCs w:val="21"/>
              </w:rPr>
              <w:t xml:space="preserve"> </w:t>
            </w:r>
            <w:r w:rsidR="004F27CC" w:rsidRPr="004F27CC">
              <w:rPr>
                <w:sz w:val="21"/>
                <w:szCs w:val="21"/>
              </w:rPr>
              <w:t>experience working with</w:t>
            </w:r>
            <w:r>
              <w:rPr>
                <w:sz w:val="21"/>
                <w:szCs w:val="21"/>
              </w:rPr>
              <w:t>in</w:t>
            </w:r>
            <w:r w:rsidR="004F27CC" w:rsidRPr="004F27CC">
              <w:rPr>
                <w:sz w:val="21"/>
                <w:szCs w:val="21"/>
              </w:rPr>
              <w:t xml:space="preserve"> the judici</w:t>
            </w:r>
            <w:r>
              <w:rPr>
                <w:sz w:val="21"/>
                <w:szCs w:val="21"/>
              </w:rPr>
              <w:t>al systems of the Czech Republic</w:t>
            </w:r>
            <w:r w:rsidR="007666BB">
              <w:rPr>
                <w:sz w:val="21"/>
                <w:szCs w:val="21"/>
              </w:rPr>
              <w:t>.</w:t>
            </w:r>
            <w:r w:rsidR="004F27CC">
              <w:rPr>
                <w:sz w:val="21"/>
                <w:szCs w:val="21"/>
              </w:rPr>
              <w:t xml:space="preserve">  </w:t>
            </w:r>
            <w:r w:rsidR="004F27CC" w:rsidRPr="004F27CC">
              <w:rPr>
                <w:sz w:val="21"/>
                <w:szCs w:val="21"/>
              </w:rPr>
              <w:t xml:space="preserve">   </w:t>
            </w:r>
            <w:r w:rsidR="004F27CC">
              <w:rPr>
                <w:sz w:val="21"/>
                <w:szCs w:val="21"/>
              </w:rPr>
              <w:t xml:space="preserve">  </w:t>
            </w:r>
          </w:p>
        </w:tc>
      </w:tr>
      <w:tr w:rsidR="000E3616" w:rsidTr="006A470C">
        <w:tc>
          <w:tcPr>
            <w:tcW w:w="2602" w:type="dxa"/>
          </w:tcPr>
          <w:p w:rsidR="000E3616" w:rsidRDefault="000E3616" w:rsidP="000E3616">
            <w:pPr>
              <w:rPr>
                <w:b/>
                <w:smallCaps/>
                <w:sz w:val="24"/>
                <w:szCs w:val="24"/>
              </w:rPr>
            </w:pPr>
            <w:r w:rsidRPr="000E3616">
              <w:rPr>
                <w:b/>
                <w:smallCaps/>
                <w:sz w:val="28"/>
                <w:szCs w:val="28"/>
              </w:rPr>
              <w:t>Europe</w:t>
            </w:r>
            <w:r w:rsidR="00201155">
              <w:rPr>
                <w:b/>
                <w:smallCaps/>
                <w:sz w:val="28"/>
                <w:szCs w:val="28"/>
              </w:rPr>
              <w:t xml:space="preserve"> </w:t>
            </w:r>
            <w:r w:rsidR="00CB5E42">
              <w:rPr>
                <w:b/>
                <w:smallCaps/>
                <w:sz w:val="28"/>
                <w:szCs w:val="28"/>
              </w:rPr>
              <w:t xml:space="preserve">- </w:t>
            </w:r>
            <w:r w:rsidR="00CB5E42" w:rsidRPr="00CB5E42">
              <w:rPr>
                <w:b/>
                <w:smallCaps/>
                <w:sz w:val="24"/>
                <w:szCs w:val="24"/>
              </w:rPr>
              <w:t>IP</w:t>
            </w:r>
          </w:p>
          <w:p w:rsidR="00AF5FB7" w:rsidRDefault="00AD2490" w:rsidP="00AF5FB7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Charles University</w:t>
            </w:r>
            <w:r w:rsidR="00355360">
              <w:rPr>
                <w:i/>
                <w:sz w:val="24"/>
                <w:szCs w:val="24"/>
              </w:rPr>
              <w:t xml:space="preserve"> Prague, Czech Republic</w:t>
            </w:r>
            <w:r w:rsidR="005D38FB">
              <w:rPr>
                <w:i/>
                <w:sz w:val="24"/>
                <w:szCs w:val="24"/>
              </w:rPr>
              <w:t xml:space="preserve"> (for orientation week)</w:t>
            </w:r>
          </w:p>
          <w:p w:rsidR="003F4A2D" w:rsidRPr="003F4A2D" w:rsidRDefault="00E4508E" w:rsidP="00AF5FB7">
            <w:pPr>
              <w:spacing w:before="120" w:after="120"/>
            </w:pPr>
            <w:r>
              <w:t>June 10 – July 20</w:t>
            </w:r>
          </w:p>
        </w:tc>
        <w:tc>
          <w:tcPr>
            <w:tcW w:w="2996" w:type="dxa"/>
          </w:tcPr>
          <w:p w:rsidR="000E3616" w:rsidRDefault="007666BB" w:rsidP="002E6956">
            <w:r>
              <w:t xml:space="preserve">Adjunct </w:t>
            </w:r>
            <w:r w:rsidR="000E3616">
              <w:t xml:space="preserve">Professor </w:t>
            </w:r>
            <w:r w:rsidR="00C822DB">
              <w:t xml:space="preserve">Peter </w:t>
            </w:r>
            <w:r w:rsidR="000E3616">
              <w:t>Harvey</w:t>
            </w:r>
          </w:p>
          <w:p w:rsidR="000E3616" w:rsidRDefault="000B0020" w:rsidP="00DB3222">
            <w:hyperlink r:id="rId15" w:history="1">
              <w:r w:rsidRPr="00B007AA">
                <w:rPr>
                  <w:rStyle w:val="Hyperlink"/>
                </w:rPr>
                <w:t>pharvey@harvey.law</w:t>
              </w:r>
            </w:hyperlink>
          </w:p>
          <w:p w:rsidR="000B0020" w:rsidRDefault="000B0020" w:rsidP="00DB3222"/>
          <w:p w:rsidR="000B0020" w:rsidRDefault="000B0020" w:rsidP="00DB3222">
            <w:bookmarkStart w:id="0" w:name="_GoBack"/>
            <w:bookmarkEnd w:id="0"/>
          </w:p>
        </w:tc>
        <w:tc>
          <w:tcPr>
            <w:tcW w:w="4680" w:type="dxa"/>
          </w:tcPr>
          <w:p w:rsidR="009F13E0" w:rsidRPr="00571BE5" w:rsidRDefault="009F13E0" w:rsidP="00EA5537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spellStart"/>
            <w:r w:rsidRPr="00571BE5">
              <w:rPr>
                <w:sz w:val="21"/>
                <w:szCs w:val="21"/>
              </w:rPr>
              <w:t>Akran</w:t>
            </w:r>
            <w:proofErr w:type="spellEnd"/>
            <w:r w:rsidRPr="00571BE5">
              <w:rPr>
                <w:sz w:val="21"/>
                <w:szCs w:val="21"/>
              </w:rPr>
              <w:t xml:space="preserve"> Int</w:t>
            </w:r>
            <w:r w:rsidR="005F5BB1">
              <w:rPr>
                <w:sz w:val="21"/>
                <w:szCs w:val="21"/>
              </w:rPr>
              <w:t xml:space="preserve">ellectual Property </w:t>
            </w:r>
            <w:proofErr w:type="spellStart"/>
            <w:r w:rsidR="005F5BB1">
              <w:rPr>
                <w:sz w:val="21"/>
                <w:szCs w:val="21"/>
              </w:rPr>
              <w:t>S.r.l</w:t>
            </w:r>
            <w:proofErr w:type="spellEnd"/>
            <w:r w:rsidR="005F5BB1">
              <w:rPr>
                <w:sz w:val="21"/>
                <w:szCs w:val="21"/>
              </w:rPr>
              <w:t>., Rome</w:t>
            </w:r>
          </w:p>
          <w:p w:rsidR="00EA5537" w:rsidRPr="00571BE5" w:rsidRDefault="00355360" w:rsidP="00EA5537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spellStart"/>
            <w:r w:rsidRPr="00571BE5">
              <w:rPr>
                <w:sz w:val="21"/>
                <w:szCs w:val="21"/>
              </w:rPr>
              <w:t>A</w:t>
            </w:r>
            <w:r w:rsidR="007666BB">
              <w:rPr>
                <w:sz w:val="21"/>
                <w:szCs w:val="21"/>
              </w:rPr>
              <w:t>r</w:t>
            </w:r>
            <w:r w:rsidRPr="00571BE5">
              <w:rPr>
                <w:sz w:val="21"/>
                <w:szCs w:val="21"/>
              </w:rPr>
              <w:t>mengaud</w:t>
            </w:r>
            <w:proofErr w:type="spellEnd"/>
            <w:r w:rsidRPr="00571BE5">
              <w:rPr>
                <w:sz w:val="21"/>
                <w:szCs w:val="21"/>
              </w:rPr>
              <w:t xml:space="preserve"> </w:t>
            </w:r>
            <w:proofErr w:type="spellStart"/>
            <w:r w:rsidRPr="00571BE5">
              <w:rPr>
                <w:sz w:val="21"/>
                <w:szCs w:val="21"/>
              </w:rPr>
              <w:t>Guerlain</w:t>
            </w:r>
            <w:proofErr w:type="spellEnd"/>
            <w:r w:rsidR="00EA5537" w:rsidRPr="00571BE5">
              <w:rPr>
                <w:sz w:val="21"/>
                <w:szCs w:val="21"/>
              </w:rPr>
              <w:t>,</w:t>
            </w:r>
            <w:r w:rsidRPr="00571BE5">
              <w:rPr>
                <w:sz w:val="21"/>
                <w:szCs w:val="21"/>
              </w:rPr>
              <w:t xml:space="preserve"> Paris</w:t>
            </w:r>
          </w:p>
          <w:p w:rsidR="00EA5537" w:rsidRPr="00571BE5" w:rsidRDefault="00EA5537" w:rsidP="00EA5537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571BE5">
              <w:rPr>
                <w:sz w:val="21"/>
                <w:szCs w:val="21"/>
              </w:rPr>
              <w:t xml:space="preserve">Casalonga </w:t>
            </w:r>
            <w:proofErr w:type="spellStart"/>
            <w:r w:rsidRPr="00571BE5">
              <w:rPr>
                <w:sz w:val="21"/>
                <w:szCs w:val="21"/>
              </w:rPr>
              <w:t>Avocats</w:t>
            </w:r>
            <w:proofErr w:type="spellEnd"/>
            <w:r w:rsidRPr="00571BE5">
              <w:rPr>
                <w:sz w:val="21"/>
                <w:szCs w:val="21"/>
              </w:rPr>
              <w:t>, Paris</w:t>
            </w:r>
          </w:p>
          <w:p w:rsidR="00EA5537" w:rsidRPr="00571BE5" w:rsidRDefault="00EA5537" w:rsidP="00EA5537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spellStart"/>
            <w:r w:rsidRPr="00571BE5">
              <w:rPr>
                <w:sz w:val="21"/>
                <w:szCs w:val="21"/>
              </w:rPr>
              <w:t>Trevisan</w:t>
            </w:r>
            <w:proofErr w:type="spellEnd"/>
            <w:r w:rsidRPr="00571BE5">
              <w:rPr>
                <w:sz w:val="21"/>
                <w:szCs w:val="21"/>
              </w:rPr>
              <w:t xml:space="preserve"> &amp; </w:t>
            </w:r>
            <w:proofErr w:type="spellStart"/>
            <w:r w:rsidRPr="00571BE5">
              <w:rPr>
                <w:sz w:val="21"/>
                <w:szCs w:val="21"/>
              </w:rPr>
              <w:t>Cuonzo</w:t>
            </w:r>
            <w:proofErr w:type="spellEnd"/>
            <w:r w:rsidR="00355360" w:rsidRPr="00571BE5">
              <w:rPr>
                <w:sz w:val="21"/>
                <w:szCs w:val="21"/>
              </w:rPr>
              <w:t xml:space="preserve"> </w:t>
            </w:r>
            <w:proofErr w:type="spellStart"/>
            <w:r w:rsidR="00355360" w:rsidRPr="00571BE5">
              <w:rPr>
                <w:sz w:val="21"/>
                <w:szCs w:val="21"/>
              </w:rPr>
              <w:t>Avvocati</w:t>
            </w:r>
            <w:proofErr w:type="spellEnd"/>
            <w:r w:rsidRPr="00571BE5">
              <w:rPr>
                <w:sz w:val="21"/>
                <w:szCs w:val="21"/>
              </w:rPr>
              <w:t>, Milan</w:t>
            </w:r>
          </w:p>
          <w:p w:rsidR="00EA5537" w:rsidRPr="00571BE5" w:rsidRDefault="0081134D" w:rsidP="00EA5537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spellStart"/>
            <w:r w:rsidRPr="00571BE5">
              <w:rPr>
                <w:sz w:val="21"/>
                <w:szCs w:val="21"/>
              </w:rPr>
              <w:t>Boehme</w:t>
            </w:r>
            <w:r w:rsidR="005F5BB1">
              <w:rPr>
                <w:sz w:val="21"/>
                <w:szCs w:val="21"/>
              </w:rPr>
              <w:t>rt</w:t>
            </w:r>
            <w:proofErr w:type="spellEnd"/>
            <w:r w:rsidR="005F5BB1">
              <w:rPr>
                <w:sz w:val="21"/>
                <w:szCs w:val="21"/>
              </w:rPr>
              <w:t xml:space="preserve"> &amp; </w:t>
            </w:r>
            <w:proofErr w:type="spellStart"/>
            <w:r w:rsidR="005F5BB1">
              <w:rPr>
                <w:sz w:val="21"/>
                <w:szCs w:val="21"/>
              </w:rPr>
              <w:t>Boehmert</w:t>
            </w:r>
            <w:proofErr w:type="spellEnd"/>
            <w:r w:rsidR="005F5BB1">
              <w:rPr>
                <w:sz w:val="21"/>
                <w:szCs w:val="21"/>
              </w:rPr>
              <w:t xml:space="preserve">, </w:t>
            </w:r>
            <w:r w:rsidR="00CA4A85">
              <w:rPr>
                <w:sz w:val="21"/>
                <w:szCs w:val="21"/>
              </w:rPr>
              <w:t>Berlin/</w:t>
            </w:r>
            <w:r w:rsidR="005F5BB1">
              <w:rPr>
                <w:sz w:val="21"/>
                <w:szCs w:val="21"/>
              </w:rPr>
              <w:t>Potsdam</w:t>
            </w:r>
          </w:p>
          <w:p w:rsidR="007666BB" w:rsidRDefault="007666BB" w:rsidP="009F13E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Swarovski, </w:t>
            </w:r>
            <w:proofErr w:type="spellStart"/>
            <w:r>
              <w:rPr>
                <w:sz w:val="21"/>
                <w:szCs w:val="21"/>
              </w:rPr>
              <w:t>Triesen</w:t>
            </w:r>
            <w:proofErr w:type="spellEnd"/>
            <w:r>
              <w:rPr>
                <w:sz w:val="21"/>
                <w:szCs w:val="21"/>
              </w:rPr>
              <w:t>, Liechtenstein</w:t>
            </w:r>
          </w:p>
          <w:p w:rsidR="009F13E0" w:rsidRPr="00571BE5" w:rsidRDefault="007666BB" w:rsidP="009F13E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IKEA, Waterloo, Belgium</w:t>
            </w:r>
          </w:p>
          <w:p w:rsidR="009F13E0" w:rsidRDefault="007666BB" w:rsidP="009F13E0">
            <w:pPr>
              <w:pStyle w:val="ListParagraph"/>
              <w:numPr>
                <w:ilvl w:val="0"/>
                <w:numId w:val="5"/>
              </w:numPr>
            </w:pPr>
            <w:r>
              <w:t>De Gaulle, Paris</w:t>
            </w:r>
          </w:p>
          <w:p w:rsidR="007666BB" w:rsidRDefault="007666BB" w:rsidP="009F13E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Bomhard</w:t>
            </w:r>
            <w:proofErr w:type="spellEnd"/>
            <w:r>
              <w:t xml:space="preserve"> IP, Alicante, Spain</w:t>
            </w:r>
          </w:p>
          <w:p w:rsidR="00E4508E" w:rsidRDefault="00E4508E" w:rsidP="00E4508E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E4508E">
              <w:t>Løje</w:t>
            </w:r>
            <w:proofErr w:type="spellEnd"/>
            <w:r>
              <w:t xml:space="preserve">, </w:t>
            </w:r>
            <w:proofErr w:type="spellStart"/>
            <w:r>
              <w:t>Arnesen</w:t>
            </w:r>
            <w:proofErr w:type="spellEnd"/>
            <w:r>
              <w:t xml:space="preserve"> &amp; </w:t>
            </w:r>
            <w:proofErr w:type="spellStart"/>
            <w:r>
              <w:t>Meedom</w:t>
            </w:r>
            <w:proofErr w:type="spellEnd"/>
            <w:r>
              <w:t>, Copenhagen</w:t>
            </w:r>
          </w:p>
          <w:p w:rsidR="00E4508E" w:rsidRDefault="00CA4A85" w:rsidP="00CA4A85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CA4A85">
              <w:t>Dfmg</w:t>
            </w:r>
            <w:proofErr w:type="spellEnd"/>
            <w:r w:rsidRPr="00CA4A85">
              <w:t xml:space="preserve"> Solicitors</w:t>
            </w:r>
            <w:r>
              <w:t>, Dublin</w:t>
            </w:r>
          </w:p>
        </w:tc>
        <w:tc>
          <w:tcPr>
            <w:tcW w:w="4410" w:type="dxa"/>
          </w:tcPr>
          <w:p w:rsidR="000E3616" w:rsidRPr="004F27CC" w:rsidRDefault="00DA0B72" w:rsidP="00687F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Externships </w:t>
            </w:r>
            <w:r w:rsidR="00687FFE">
              <w:rPr>
                <w:sz w:val="21"/>
                <w:szCs w:val="21"/>
              </w:rPr>
              <w:t>address c</w:t>
            </w:r>
            <w:r w:rsidR="00671FA7" w:rsidRPr="004F27CC">
              <w:rPr>
                <w:sz w:val="21"/>
                <w:szCs w:val="21"/>
              </w:rPr>
              <w:t>ross border intellectual property enforcement issues such as anti-counterfeiting enforcement measures, piracy, internet provider secondary liability, and the tension between trademarks and geographical indications.</w:t>
            </w:r>
          </w:p>
        </w:tc>
      </w:tr>
      <w:tr w:rsidR="00E3184B" w:rsidTr="006A470C">
        <w:tc>
          <w:tcPr>
            <w:tcW w:w="2602" w:type="dxa"/>
          </w:tcPr>
          <w:p w:rsidR="00E3184B" w:rsidRDefault="00E3184B" w:rsidP="00BC3B24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8"/>
                <w:szCs w:val="28"/>
              </w:rPr>
              <w:t xml:space="preserve">Mexico – </w:t>
            </w:r>
            <w:r w:rsidRPr="00CB5E42">
              <w:rPr>
                <w:b/>
                <w:smallCaps/>
                <w:sz w:val="24"/>
                <w:szCs w:val="24"/>
              </w:rPr>
              <w:t>Mexico City</w:t>
            </w:r>
          </w:p>
          <w:p w:rsidR="00AD2490" w:rsidRDefault="00AD2490" w:rsidP="00AB5C01">
            <w:pPr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Universidad </w:t>
            </w:r>
            <w:proofErr w:type="spellStart"/>
            <w:r>
              <w:rPr>
                <w:i/>
                <w:sz w:val="24"/>
                <w:szCs w:val="24"/>
              </w:rPr>
              <w:t>Panamericana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</w:p>
          <w:p w:rsidR="00AD2490" w:rsidRDefault="00D10B39" w:rsidP="003F4A2D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Mexico City</w:t>
            </w:r>
          </w:p>
          <w:p w:rsidR="003F4A2D" w:rsidRPr="00652E8C" w:rsidRDefault="00CA4A85" w:rsidP="00BC3B24">
            <w:r>
              <w:t>June 12</w:t>
            </w:r>
            <w:r w:rsidR="00507942">
              <w:t xml:space="preserve"> –</w:t>
            </w:r>
            <w:r>
              <w:t xml:space="preserve"> July 20</w:t>
            </w:r>
          </w:p>
        </w:tc>
        <w:tc>
          <w:tcPr>
            <w:tcW w:w="2996" w:type="dxa"/>
          </w:tcPr>
          <w:p w:rsidR="00E3184B" w:rsidRDefault="00C822DB" w:rsidP="00BC3B24">
            <w:pPr>
              <w:tabs>
                <w:tab w:val="num" w:pos="720"/>
              </w:tabs>
            </w:pPr>
            <w:r>
              <w:t>Assistant Professor Jacqueline Brown Scott</w:t>
            </w:r>
          </w:p>
          <w:p w:rsidR="00C822DB" w:rsidRDefault="000B0020" w:rsidP="00BC3B24">
            <w:pPr>
              <w:tabs>
                <w:tab w:val="num" w:pos="720"/>
              </w:tabs>
            </w:pPr>
            <w:hyperlink r:id="rId16" w:history="1">
              <w:r w:rsidR="00C822DB" w:rsidRPr="005532E5">
                <w:rPr>
                  <w:rStyle w:val="Hyperlink"/>
                </w:rPr>
                <w:t>jmbrown@usfca.edu</w:t>
              </w:r>
            </w:hyperlink>
          </w:p>
          <w:p w:rsidR="00AD2490" w:rsidRDefault="00C822DB" w:rsidP="00BC3B24">
            <w:pPr>
              <w:tabs>
                <w:tab w:val="num" w:pos="720"/>
              </w:tabs>
            </w:pPr>
            <w:r w:rsidRPr="00C822DB">
              <w:t xml:space="preserve"> </w:t>
            </w:r>
          </w:p>
        </w:tc>
        <w:tc>
          <w:tcPr>
            <w:tcW w:w="4680" w:type="dxa"/>
          </w:tcPr>
          <w:p w:rsidR="00E3184B" w:rsidRPr="00B81F7B" w:rsidRDefault="00AD2490" w:rsidP="00B81F7B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81F7B">
              <w:rPr>
                <w:sz w:val="21"/>
                <w:szCs w:val="21"/>
              </w:rPr>
              <w:t>Ernst &amp; Young</w:t>
            </w:r>
            <w:r w:rsidR="007666BB">
              <w:rPr>
                <w:sz w:val="21"/>
                <w:szCs w:val="21"/>
              </w:rPr>
              <w:t xml:space="preserve">          </w:t>
            </w:r>
            <w:r w:rsidR="007666BB" w:rsidRPr="00652E8C">
              <w:rPr>
                <w:rFonts w:cstheme="minorHAnsi"/>
                <w:sz w:val="18"/>
                <w:szCs w:val="18"/>
              </w:rPr>
              <w:t>●</w:t>
            </w:r>
            <w:r w:rsidR="007666BB">
              <w:rPr>
                <w:sz w:val="21"/>
                <w:szCs w:val="21"/>
              </w:rPr>
              <w:t xml:space="preserve">   Jones Day</w:t>
            </w:r>
          </w:p>
          <w:p w:rsidR="00AD2490" w:rsidRDefault="00AD2490" w:rsidP="00AD2490">
            <w:pPr>
              <w:pStyle w:val="ListParagraph"/>
              <w:numPr>
                <w:ilvl w:val="0"/>
                <w:numId w:val="13"/>
              </w:numPr>
              <w:spacing w:before="120"/>
              <w:rPr>
                <w:sz w:val="21"/>
                <w:szCs w:val="21"/>
              </w:rPr>
            </w:pPr>
            <w:r w:rsidRPr="00B81F7B">
              <w:rPr>
                <w:sz w:val="21"/>
                <w:szCs w:val="21"/>
              </w:rPr>
              <w:t>Holland &amp; Knight</w:t>
            </w:r>
            <w:r w:rsidR="00CA4A85">
              <w:rPr>
                <w:sz w:val="21"/>
                <w:szCs w:val="21"/>
              </w:rPr>
              <w:t xml:space="preserve">     </w:t>
            </w:r>
            <w:r w:rsidR="00CA4A85" w:rsidRPr="00CA4A85">
              <w:rPr>
                <w:sz w:val="18"/>
                <w:szCs w:val="18"/>
              </w:rPr>
              <w:t xml:space="preserve">● </w:t>
            </w:r>
            <w:r w:rsidR="00CA4A85">
              <w:rPr>
                <w:sz w:val="18"/>
                <w:szCs w:val="18"/>
              </w:rPr>
              <w:t xml:space="preserve">  </w:t>
            </w:r>
            <w:r w:rsidR="00CA4A85" w:rsidRPr="00CA4A85">
              <w:rPr>
                <w:sz w:val="21"/>
                <w:szCs w:val="21"/>
              </w:rPr>
              <w:t xml:space="preserve">Greenberg </w:t>
            </w:r>
            <w:proofErr w:type="spellStart"/>
            <w:r w:rsidR="00CA4A85" w:rsidRPr="00CA4A85">
              <w:rPr>
                <w:sz w:val="21"/>
                <w:szCs w:val="21"/>
              </w:rPr>
              <w:t>Traurig</w:t>
            </w:r>
            <w:proofErr w:type="spellEnd"/>
          </w:p>
          <w:p w:rsidR="007666BB" w:rsidRPr="007666BB" w:rsidRDefault="007666BB" w:rsidP="00CA4A85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7666BB">
              <w:rPr>
                <w:sz w:val="21"/>
                <w:szCs w:val="21"/>
              </w:rPr>
              <w:t>Centro PRODH</w:t>
            </w:r>
            <w:r w:rsidR="00CA4A85">
              <w:rPr>
                <w:sz w:val="21"/>
                <w:szCs w:val="21"/>
              </w:rPr>
              <w:t xml:space="preserve">         </w:t>
            </w:r>
            <w:r w:rsidR="00CA4A85" w:rsidRPr="00CA4A85">
              <w:rPr>
                <w:sz w:val="18"/>
                <w:szCs w:val="18"/>
              </w:rPr>
              <w:t>●</w:t>
            </w:r>
            <w:r w:rsidR="00CA4A85" w:rsidRPr="00CA4A85">
              <w:rPr>
                <w:sz w:val="21"/>
                <w:szCs w:val="21"/>
              </w:rPr>
              <w:t xml:space="preserve">   CENADEH         </w:t>
            </w:r>
          </w:p>
          <w:p w:rsidR="007666BB" w:rsidRPr="007666BB" w:rsidRDefault="007666BB" w:rsidP="00366A9B">
            <w:pPr>
              <w:pStyle w:val="ListParagraph"/>
              <w:numPr>
                <w:ilvl w:val="0"/>
                <w:numId w:val="13"/>
              </w:numPr>
              <w:spacing w:before="120"/>
              <w:rPr>
                <w:sz w:val="21"/>
                <w:szCs w:val="21"/>
              </w:rPr>
            </w:pPr>
            <w:r w:rsidRPr="007666BB">
              <w:rPr>
                <w:sz w:val="21"/>
                <w:szCs w:val="21"/>
              </w:rPr>
              <w:t xml:space="preserve">IMUMI </w:t>
            </w:r>
            <w:r>
              <w:rPr>
                <w:sz w:val="21"/>
                <w:szCs w:val="21"/>
              </w:rPr>
              <w:t xml:space="preserve">           </w:t>
            </w:r>
            <w:r w:rsidR="00366A9B">
              <w:rPr>
                <w:sz w:val="21"/>
                <w:szCs w:val="21"/>
              </w:rPr>
              <w:t xml:space="preserve">          </w:t>
            </w:r>
            <w:r w:rsidR="00366A9B" w:rsidRPr="00366A9B">
              <w:rPr>
                <w:sz w:val="18"/>
                <w:szCs w:val="18"/>
              </w:rPr>
              <w:t xml:space="preserve"> </w:t>
            </w:r>
          </w:p>
          <w:p w:rsidR="00AD2490" w:rsidRPr="00B81F7B" w:rsidRDefault="00B81F7B" w:rsidP="00B81F7B">
            <w:pPr>
              <w:pStyle w:val="ListParagraph"/>
              <w:numPr>
                <w:ilvl w:val="0"/>
                <w:numId w:val="13"/>
              </w:numPr>
              <w:spacing w:before="120"/>
              <w:rPr>
                <w:sz w:val="21"/>
                <w:szCs w:val="21"/>
              </w:rPr>
            </w:pPr>
            <w:proofErr w:type="spellStart"/>
            <w:r w:rsidRPr="00B81F7B">
              <w:rPr>
                <w:sz w:val="21"/>
                <w:szCs w:val="21"/>
              </w:rPr>
              <w:t>Comisión</w:t>
            </w:r>
            <w:proofErr w:type="spellEnd"/>
            <w:r w:rsidRPr="00B81F7B">
              <w:rPr>
                <w:sz w:val="21"/>
                <w:szCs w:val="21"/>
              </w:rPr>
              <w:t xml:space="preserve"> Nacional de los </w:t>
            </w:r>
            <w:proofErr w:type="spellStart"/>
            <w:r w:rsidRPr="00B81F7B">
              <w:rPr>
                <w:sz w:val="21"/>
                <w:szCs w:val="21"/>
              </w:rPr>
              <w:t>Derechos</w:t>
            </w:r>
            <w:proofErr w:type="spellEnd"/>
            <w:r w:rsidRPr="00B81F7B">
              <w:rPr>
                <w:sz w:val="21"/>
                <w:szCs w:val="21"/>
              </w:rPr>
              <w:t xml:space="preserve"> </w:t>
            </w:r>
            <w:proofErr w:type="spellStart"/>
            <w:r w:rsidRPr="00B81F7B">
              <w:rPr>
                <w:sz w:val="21"/>
                <w:szCs w:val="21"/>
              </w:rPr>
              <w:t>Humanos</w:t>
            </w:r>
            <w:proofErr w:type="spellEnd"/>
            <w:r w:rsidRPr="00B81F7B">
              <w:rPr>
                <w:sz w:val="21"/>
                <w:szCs w:val="21"/>
              </w:rPr>
              <w:t xml:space="preserve"> – México (CNDH)</w:t>
            </w:r>
          </w:p>
          <w:p w:rsidR="00B81F7B" w:rsidRPr="00B81F7B" w:rsidRDefault="00B81F7B" w:rsidP="00652E8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B81F7B">
              <w:rPr>
                <w:sz w:val="21"/>
                <w:szCs w:val="21"/>
              </w:rPr>
              <w:t>Comision</w:t>
            </w:r>
            <w:proofErr w:type="spellEnd"/>
            <w:r w:rsidRPr="00B81F7B">
              <w:rPr>
                <w:sz w:val="21"/>
                <w:szCs w:val="21"/>
              </w:rPr>
              <w:t xml:space="preserve"> Mexicana </w:t>
            </w:r>
            <w:proofErr w:type="spellStart"/>
            <w:r w:rsidRPr="00B81F7B">
              <w:rPr>
                <w:sz w:val="21"/>
                <w:szCs w:val="21"/>
              </w:rPr>
              <w:t>por</w:t>
            </w:r>
            <w:proofErr w:type="spellEnd"/>
            <w:r w:rsidRPr="00B81F7B">
              <w:rPr>
                <w:sz w:val="21"/>
                <w:szCs w:val="21"/>
              </w:rPr>
              <w:t xml:space="preserve"> la </w:t>
            </w:r>
            <w:proofErr w:type="spellStart"/>
            <w:r w:rsidRPr="00B81F7B">
              <w:rPr>
                <w:sz w:val="21"/>
                <w:szCs w:val="21"/>
              </w:rPr>
              <w:t>Defensa</w:t>
            </w:r>
            <w:proofErr w:type="spellEnd"/>
            <w:r w:rsidRPr="00B81F7B">
              <w:rPr>
                <w:sz w:val="21"/>
                <w:szCs w:val="21"/>
              </w:rPr>
              <w:t xml:space="preserve"> y </w:t>
            </w:r>
            <w:proofErr w:type="spellStart"/>
            <w:r w:rsidRPr="00B81F7B">
              <w:rPr>
                <w:sz w:val="21"/>
                <w:szCs w:val="21"/>
              </w:rPr>
              <w:t>Promocion</w:t>
            </w:r>
            <w:proofErr w:type="spellEnd"/>
            <w:r w:rsidRPr="00B81F7B">
              <w:rPr>
                <w:sz w:val="21"/>
                <w:szCs w:val="21"/>
              </w:rPr>
              <w:t xml:space="preserve"> de </w:t>
            </w:r>
            <w:proofErr w:type="spellStart"/>
            <w:r w:rsidRPr="00B81F7B">
              <w:rPr>
                <w:sz w:val="21"/>
                <w:szCs w:val="21"/>
              </w:rPr>
              <w:t>Derechos</w:t>
            </w:r>
            <w:proofErr w:type="spellEnd"/>
            <w:r w:rsidRPr="00B81F7B">
              <w:rPr>
                <w:sz w:val="21"/>
                <w:szCs w:val="21"/>
              </w:rPr>
              <w:t xml:space="preserve"> </w:t>
            </w:r>
            <w:proofErr w:type="spellStart"/>
            <w:r w:rsidRPr="00B81F7B">
              <w:rPr>
                <w:sz w:val="21"/>
                <w:szCs w:val="21"/>
              </w:rPr>
              <w:t>Humanos</w:t>
            </w:r>
            <w:proofErr w:type="spellEnd"/>
            <w:r w:rsidRPr="00B81F7B">
              <w:rPr>
                <w:sz w:val="21"/>
                <w:szCs w:val="21"/>
              </w:rPr>
              <w:t xml:space="preserve"> (CMDPDH)</w:t>
            </w:r>
          </w:p>
        </w:tc>
        <w:tc>
          <w:tcPr>
            <w:tcW w:w="4410" w:type="dxa"/>
          </w:tcPr>
          <w:p w:rsidR="00E3184B" w:rsidRPr="00C8629D" w:rsidRDefault="00687FFE" w:rsidP="00687FFE">
            <w:pPr>
              <w:spacing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Extern at a </w:t>
            </w:r>
            <w:r w:rsidR="00B81F7B" w:rsidRPr="00B81F7B">
              <w:rPr>
                <w:rFonts w:cstheme="minorHAnsi"/>
                <w:sz w:val="21"/>
                <w:szCs w:val="21"/>
              </w:rPr>
              <w:t xml:space="preserve">federal government human rights research and complaint-receiving </w:t>
            </w:r>
            <w:r>
              <w:rPr>
                <w:rFonts w:cstheme="minorHAnsi"/>
                <w:sz w:val="21"/>
                <w:szCs w:val="21"/>
              </w:rPr>
              <w:t>age</w:t>
            </w:r>
            <w:r w:rsidR="00B81F7B" w:rsidRPr="00B81F7B">
              <w:rPr>
                <w:rFonts w:cstheme="minorHAnsi"/>
                <w:sz w:val="21"/>
                <w:szCs w:val="21"/>
              </w:rPr>
              <w:t>ncy</w:t>
            </w:r>
            <w:r w:rsidR="00B81F7B">
              <w:rPr>
                <w:rFonts w:cstheme="minorHAnsi"/>
                <w:sz w:val="21"/>
                <w:szCs w:val="21"/>
              </w:rPr>
              <w:t>, human rights NGOs,</w:t>
            </w:r>
            <w:r>
              <w:rPr>
                <w:rFonts w:cstheme="minorHAnsi"/>
                <w:sz w:val="21"/>
                <w:szCs w:val="21"/>
              </w:rPr>
              <w:t xml:space="preserve"> U.S. based international commercial law firms or a multi-national professional services firm.</w:t>
            </w:r>
          </w:p>
        </w:tc>
      </w:tr>
      <w:tr w:rsidR="000E3616" w:rsidTr="006A470C">
        <w:tc>
          <w:tcPr>
            <w:tcW w:w="2602" w:type="dxa"/>
          </w:tcPr>
          <w:p w:rsidR="000E3616" w:rsidRPr="00EA5537" w:rsidRDefault="000E3616" w:rsidP="000E3616">
            <w:pPr>
              <w:rPr>
                <w:b/>
                <w:smallCaps/>
                <w:sz w:val="24"/>
                <w:szCs w:val="24"/>
              </w:rPr>
            </w:pPr>
            <w:r w:rsidRPr="000E3616">
              <w:rPr>
                <w:b/>
                <w:smallCaps/>
                <w:sz w:val="28"/>
                <w:szCs w:val="28"/>
              </w:rPr>
              <w:lastRenderedPageBreak/>
              <w:t>Vietnam</w:t>
            </w:r>
            <w:r w:rsidR="00EA5537">
              <w:rPr>
                <w:b/>
                <w:smallCaps/>
                <w:sz w:val="28"/>
                <w:szCs w:val="28"/>
              </w:rPr>
              <w:t xml:space="preserve"> – </w:t>
            </w:r>
            <w:r w:rsidR="00EA5537">
              <w:rPr>
                <w:b/>
                <w:smallCaps/>
                <w:sz w:val="24"/>
                <w:szCs w:val="24"/>
              </w:rPr>
              <w:t xml:space="preserve">Hanoi and Ho Chi Minh City </w:t>
            </w:r>
          </w:p>
          <w:p w:rsidR="00671FA7" w:rsidRDefault="00671FA7" w:rsidP="00671FA7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Hanoi Law University</w:t>
            </w:r>
          </w:p>
          <w:p w:rsidR="003F4A2D" w:rsidRPr="003F4A2D" w:rsidRDefault="00C822DB" w:rsidP="00671FA7">
            <w:pPr>
              <w:spacing w:before="120" w:after="120"/>
            </w:pPr>
            <w:r>
              <w:t>June 19 – August 10</w:t>
            </w:r>
          </w:p>
        </w:tc>
        <w:tc>
          <w:tcPr>
            <w:tcW w:w="2996" w:type="dxa"/>
          </w:tcPr>
          <w:p w:rsidR="00AD2490" w:rsidRDefault="00C822DB" w:rsidP="00AD2490">
            <w:r>
              <w:t>Professor Bruce Price</w:t>
            </w:r>
          </w:p>
          <w:p w:rsidR="00AD2490" w:rsidRDefault="000B0020" w:rsidP="00AD2490">
            <w:hyperlink r:id="rId17" w:history="1">
              <w:r w:rsidR="00C822DB" w:rsidRPr="005532E5">
                <w:rPr>
                  <w:rStyle w:val="Hyperlink"/>
                </w:rPr>
                <w:t>bmprice@usfca.edu</w:t>
              </w:r>
            </w:hyperlink>
          </w:p>
          <w:p w:rsidR="00C822DB" w:rsidRDefault="00C822DB" w:rsidP="00AD2490"/>
          <w:p w:rsidR="0085695E" w:rsidRDefault="00AD2490" w:rsidP="00AD2490">
            <w:r>
              <w:cr/>
            </w:r>
          </w:p>
          <w:p w:rsidR="000E3616" w:rsidRDefault="000E3616" w:rsidP="002E6956"/>
        </w:tc>
        <w:tc>
          <w:tcPr>
            <w:tcW w:w="4680" w:type="dxa"/>
          </w:tcPr>
          <w:p w:rsidR="00C77A9B" w:rsidRPr="004F27CC" w:rsidRDefault="0085695E" w:rsidP="00C77A9B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4F27CC">
              <w:rPr>
                <w:b/>
                <w:smallCaps/>
                <w:sz w:val="21"/>
                <w:szCs w:val="21"/>
              </w:rPr>
              <w:t>HCMC</w:t>
            </w:r>
            <w:r w:rsidR="00EA5537" w:rsidRPr="004F27CC">
              <w:rPr>
                <w:b/>
                <w:smallCaps/>
                <w:sz w:val="21"/>
                <w:szCs w:val="21"/>
              </w:rPr>
              <w:t xml:space="preserve"> unless otherwise specified</w:t>
            </w:r>
          </w:p>
          <w:p w:rsidR="000E3616" w:rsidRPr="00571BE5" w:rsidRDefault="002125AC" w:rsidP="007C6E9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71BE5">
              <w:rPr>
                <w:sz w:val="21"/>
                <w:szCs w:val="21"/>
              </w:rPr>
              <w:t>Baker &amp; McKenzie</w:t>
            </w:r>
            <w:r w:rsidR="00EA5537" w:rsidRPr="00571BE5">
              <w:rPr>
                <w:sz w:val="21"/>
                <w:szCs w:val="21"/>
              </w:rPr>
              <w:t xml:space="preserve"> (Hanoi and HCMC)</w:t>
            </w:r>
          </w:p>
          <w:p w:rsidR="00C77A9B" w:rsidRPr="00571BE5" w:rsidRDefault="0085695E" w:rsidP="007C6E9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71BE5">
              <w:rPr>
                <w:sz w:val="21"/>
                <w:szCs w:val="21"/>
              </w:rPr>
              <w:t>Duane Morris</w:t>
            </w:r>
          </w:p>
          <w:p w:rsidR="00C77A9B" w:rsidRPr="00571BE5" w:rsidRDefault="0085695E" w:rsidP="007C6E9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71BE5">
              <w:rPr>
                <w:sz w:val="21"/>
                <w:szCs w:val="21"/>
              </w:rPr>
              <w:t>YKVN Lawyers</w:t>
            </w:r>
          </w:p>
          <w:p w:rsidR="00C77A9B" w:rsidRPr="00571BE5" w:rsidRDefault="0085695E" w:rsidP="009F2A7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71BE5">
              <w:rPr>
                <w:sz w:val="21"/>
                <w:szCs w:val="21"/>
              </w:rPr>
              <w:t>LNT Partners</w:t>
            </w:r>
          </w:p>
          <w:p w:rsidR="00571BE5" w:rsidRPr="00571BE5" w:rsidRDefault="00571BE5" w:rsidP="00571BE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71BE5">
              <w:rPr>
                <w:sz w:val="21"/>
                <w:szCs w:val="21"/>
              </w:rPr>
              <w:t xml:space="preserve">UN Development </w:t>
            </w:r>
            <w:proofErr w:type="spellStart"/>
            <w:r w:rsidRPr="00571BE5">
              <w:rPr>
                <w:sz w:val="21"/>
                <w:szCs w:val="21"/>
              </w:rPr>
              <w:t>Programme</w:t>
            </w:r>
            <w:proofErr w:type="spellEnd"/>
            <w:r w:rsidRPr="00571BE5">
              <w:rPr>
                <w:sz w:val="21"/>
                <w:szCs w:val="21"/>
              </w:rPr>
              <w:t xml:space="preserve"> (Hanoi)</w:t>
            </w:r>
          </w:p>
        </w:tc>
        <w:tc>
          <w:tcPr>
            <w:tcW w:w="4410" w:type="dxa"/>
          </w:tcPr>
          <w:p w:rsidR="00671FA7" w:rsidRPr="004F27CC" w:rsidRDefault="009F2A72" w:rsidP="007657BF">
            <w:pPr>
              <w:rPr>
                <w:rFonts w:cstheme="minorHAnsi"/>
                <w:sz w:val="21"/>
                <w:szCs w:val="21"/>
              </w:rPr>
            </w:pPr>
            <w:r w:rsidRPr="004F27CC">
              <w:rPr>
                <w:rFonts w:cstheme="minorHAnsi"/>
                <w:sz w:val="21"/>
                <w:szCs w:val="21"/>
              </w:rPr>
              <w:t>Extern</w:t>
            </w:r>
            <w:r w:rsidR="0085695E" w:rsidRPr="004F27CC">
              <w:rPr>
                <w:rFonts w:cstheme="minorHAnsi"/>
                <w:sz w:val="21"/>
                <w:szCs w:val="21"/>
              </w:rPr>
              <w:t xml:space="preserve"> at international commercial law firms representing Vietnamese and overseas investors in contract, regulatory, intellectual property, trade, secur</w:t>
            </w:r>
            <w:r w:rsidR="007657BF">
              <w:rPr>
                <w:rFonts w:cstheme="minorHAnsi"/>
                <w:sz w:val="21"/>
                <w:szCs w:val="21"/>
              </w:rPr>
              <w:t>ities, and real property issues,</w:t>
            </w:r>
            <w:r w:rsidR="0085695E" w:rsidRPr="004F27CC">
              <w:rPr>
                <w:rFonts w:cstheme="minorHAnsi"/>
                <w:sz w:val="21"/>
                <w:szCs w:val="21"/>
              </w:rPr>
              <w:t xml:space="preserve"> </w:t>
            </w:r>
            <w:r w:rsidR="007657BF">
              <w:rPr>
                <w:rFonts w:cstheme="minorHAnsi"/>
                <w:sz w:val="21"/>
                <w:szCs w:val="21"/>
              </w:rPr>
              <w:t>or at the United Nations</w:t>
            </w:r>
            <w:r w:rsidR="0085695E" w:rsidRPr="004F27CC">
              <w:rPr>
                <w:rFonts w:cstheme="minorHAnsi"/>
                <w:sz w:val="21"/>
                <w:szCs w:val="21"/>
              </w:rPr>
              <w:t>, working on strengthening the rule of law in Vietnam. </w:t>
            </w:r>
            <w:r w:rsidR="00671FA7" w:rsidRPr="004F27CC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</w:tbl>
    <w:p w:rsidR="002E6956" w:rsidRDefault="002E6956" w:rsidP="002E6956"/>
    <w:p w:rsidR="00E3184B" w:rsidRDefault="00E3184B" w:rsidP="00E3184B">
      <w:pPr>
        <w:jc w:val="center"/>
      </w:pPr>
      <w:r>
        <w:rPr>
          <w:b/>
          <w:smallCaps/>
          <w:sz w:val="28"/>
          <w:szCs w:val="28"/>
        </w:rPr>
        <w:t>Program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3C7338" w:rsidTr="003C7338">
        <w:tc>
          <w:tcPr>
            <w:tcW w:w="3654" w:type="dxa"/>
          </w:tcPr>
          <w:p w:rsidR="003C7338" w:rsidRPr="00401318" w:rsidRDefault="003C7338" w:rsidP="006E0F56">
            <w:pPr>
              <w:spacing w:after="60"/>
              <w:jc w:val="center"/>
              <w:rPr>
                <w:b/>
                <w:smallCaps/>
                <w:sz w:val="24"/>
                <w:szCs w:val="24"/>
              </w:rPr>
            </w:pPr>
            <w:r w:rsidRPr="00401318">
              <w:rPr>
                <w:b/>
                <w:smallCaps/>
                <w:sz w:val="24"/>
                <w:szCs w:val="24"/>
              </w:rPr>
              <w:t>Eligibility Requirements</w:t>
            </w:r>
          </w:p>
          <w:p w:rsidR="003C7338" w:rsidRPr="003C7338" w:rsidRDefault="003C7338" w:rsidP="006E0F56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b/>
              </w:rPr>
            </w:pPr>
            <w:r>
              <w:t>28 law school credits completed</w:t>
            </w:r>
          </w:p>
          <w:p w:rsidR="003C7338" w:rsidRPr="003C7338" w:rsidRDefault="003C7338" w:rsidP="006E0F56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b/>
              </w:rPr>
            </w:pPr>
            <w:r>
              <w:t>Good academic standing</w:t>
            </w:r>
          </w:p>
          <w:p w:rsidR="003C7338" w:rsidRPr="003C7338" w:rsidRDefault="003C7338" w:rsidP="006E0F56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b/>
              </w:rPr>
            </w:pPr>
            <w:r>
              <w:t>Health insurance coverage</w:t>
            </w:r>
          </w:p>
        </w:tc>
        <w:tc>
          <w:tcPr>
            <w:tcW w:w="3654" w:type="dxa"/>
          </w:tcPr>
          <w:p w:rsidR="003C7338" w:rsidRPr="00401318" w:rsidRDefault="00401318" w:rsidP="00401318">
            <w:pPr>
              <w:spacing w:after="120"/>
              <w:jc w:val="center"/>
              <w:rPr>
                <w:b/>
                <w:smallCaps/>
                <w:sz w:val="24"/>
                <w:szCs w:val="24"/>
              </w:rPr>
            </w:pPr>
            <w:r w:rsidRPr="00401318">
              <w:rPr>
                <w:b/>
                <w:smallCaps/>
                <w:sz w:val="24"/>
                <w:szCs w:val="24"/>
              </w:rPr>
              <w:t>Units</w:t>
            </w:r>
          </w:p>
          <w:p w:rsidR="00401318" w:rsidRDefault="00652E8C" w:rsidP="00401318">
            <w:pPr>
              <w:jc w:val="center"/>
            </w:pPr>
            <w:r>
              <w:t>4</w:t>
            </w:r>
            <w:r w:rsidR="00401318">
              <w:t xml:space="preserve"> extern units</w:t>
            </w:r>
          </w:p>
          <w:p w:rsidR="00652E8C" w:rsidRDefault="00103735" w:rsidP="00401318">
            <w:pPr>
              <w:jc w:val="center"/>
            </w:pPr>
            <w:r>
              <w:t>(180 hours of recorded work</w:t>
            </w:r>
            <w:r w:rsidR="00652E8C">
              <w:t>)</w:t>
            </w:r>
          </w:p>
          <w:p w:rsidR="00401318" w:rsidRPr="00401318" w:rsidRDefault="00401318" w:rsidP="00401318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3C7338" w:rsidRPr="00401318" w:rsidRDefault="00401318" w:rsidP="0040131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01318">
              <w:rPr>
                <w:b/>
                <w:smallCaps/>
                <w:sz w:val="24"/>
                <w:szCs w:val="24"/>
              </w:rPr>
              <w:t>Externship Length</w:t>
            </w:r>
          </w:p>
          <w:p w:rsidR="00652E8C" w:rsidRDefault="00652E8C" w:rsidP="00401318">
            <w:pPr>
              <w:jc w:val="center"/>
            </w:pPr>
            <w:r>
              <w:t>3 days of</w:t>
            </w:r>
            <w:r w:rsidR="00401318">
              <w:t xml:space="preserve"> orientation</w:t>
            </w:r>
            <w:r>
              <w:t xml:space="preserve"> </w:t>
            </w:r>
          </w:p>
          <w:p w:rsidR="00401318" w:rsidRDefault="00652E8C" w:rsidP="00401318">
            <w:pPr>
              <w:jc w:val="center"/>
            </w:pPr>
            <w:r>
              <w:t>(Europe IP:  1 week of orientation)</w:t>
            </w:r>
          </w:p>
          <w:p w:rsidR="00401318" w:rsidRDefault="00652E8C" w:rsidP="00401318">
            <w:pPr>
              <w:jc w:val="center"/>
            </w:pPr>
            <w:r w:rsidRPr="00652E8C">
              <w:t>5</w:t>
            </w:r>
            <w:r w:rsidR="00401318" w:rsidRPr="00652E8C">
              <w:t xml:space="preserve"> week externship</w:t>
            </w:r>
            <w:r>
              <w:t>*</w:t>
            </w:r>
          </w:p>
          <w:p w:rsidR="00652E8C" w:rsidRPr="00652E8C" w:rsidRDefault="00652E8C" w:rsidP="00401318">
            <w:pPr>
              <w:jc w:val="center"/>
            </w:pPr>
            <w:r>
              <w:t>(Vietnam:  7 week externship)</w:t>
            </w:r>
          </w:p>
          <w:p w:rsidR="00401318" w:rsidRPr="00401318" w:rsidRDefault="00652E8C" w:rsidP="00401318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*</w:t>
            </w:r>
            <w:r w:rsidR="00401318" w:rsidRPr="00401318">
              <w:rPr>
                <w:i/>
                <w:sz w:val="21"/>
                <w:szCs w:val="21"/>
              </w:rPr>
              <w:t>Students may arrange to stay longer.</w:t>
            </w:r>
          </w:p>
        </w:tc>
        <w:tc>
          <w:tcPr>
            <w:tcW w:w="3654" w:type="dxa"/>
          </w:tcPr>
          <w:p w:rsidR="003C7338" w:rsidRDefault="00401318" w:rsidP="0040131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01318">
              <w:rPr>
                <w:b/>
                <w:smallCaps/>
                <w:sz w:val="24"/>
                <w:szCs w:val="24"/>
              </w:rPr>
              <w:t>Costs</w:t>
            </w:r>
          </w:p>
          <w:p w:rsidR="00401318" w:rsidRPr="006E0F56" w:rsidRDefault="006E0F56" w:rsidP="006E0F56">
            <w:pPr>
              <w:pStyle w:val="ListParagraph"/>
              <w:numPr>
                <w:ilvl w:val="0"/>
                <w:numId w:val="9"/>
              </w:numPr>
              <w:ind w:left="378" w:hanging="180"/>
            </w:pPr>
            <w:r w:rsidRPr="006E0F56">
              <w:t>Tuition $4,000</w:t>
            </w:r>
          </w:p>
          <w:p w:rsidR="006E0F56" w:rsidRPr="006E0F56" w:rsidRDefault="006E0F56" w:rsidP="006E0F56">
            <w:pPr>
              <w:pStyle w:val="ListParagraph"/>
              <w:numPr>
                <w:ilvl w:val="0"/>
                <w:numId w:val="9"/>
              </w:numPr>
              <w:ind w:left="378" w:hanging="180"/>
            </w:pPr>
            <w:r w:rsidRPr="006E0F56">
              <w:t>Housing</w:t>
            </w:r>
          </w:p>
          <w:p w:rsidR="006E0F56" w:rsidRPr="006E0F56" w:rsidRDefault="006E0F56" w:rsidP="006E0F56">
            <w:pPr>
              <w:pStyle w:val="ListParagraph"/>
              <w:numPr>
                <w:ilvl w:val="0"/>
                <w:numId w:val="9"/>
              </w:numPr>
              <w:ind w:left="378" w:hanging="180"/>
              <w:rPr>
                <w:sz w:val="24"/>
                <w:szCs w:val="24"/>
              </w:rPr>
            </w:pPr>
            <w:r w:rsidRPr="006E0F56">
              <w:t xml:space="preserve">Travel related costs including </w:t>
            </w:r>
            <w:r>
              <w:t xml:space="preserve">airfare, </w:t>
            </w:r>
            <w:r w:rsidRPr="006E0F56">
              <w:t>meals, taxis and events.</w:t>
            </w:r>
          </w:p>
        </w:tc>
      </w:tr>
      <w:tr w:rsidR="003C7338" w:rsidTr="003C7338">
        <w:tc>
          <w:tcPr>
            <w:tcW w:w="3654" w:type="dxa"/>
          </w:tcPr>
          <w:p w:rsidR="003C7338" w:rsidRPr="001A1037" w:rsidRDefault="001A1037" w:rsidP="001A1037">
            <w:pPr>
              <w:spacing w:after="120"/>
              <w:jc w:val="center"/>
              <w:rPr>
                <w:b/>
                <w:smallCaps/>
                <w:sz w:val="24"/>
                <w:szCs w:val="24"/>
              </w:rPr>
            </w:pPr>
            <w:r w:rsidRPr="001A1037">
              <w:rPr>
                <w:b/>
                <w:smallCaps/>
                <w:sz w:val="24"/>
                <w:szCs w:val="24"/>
              </w:rPr>
              <w:t>Housing</w:t>
            </w:r>
          </w:p>
          <w:p w:rsidR="001A1037" w:rsidRPr="001A1037" w:rsidRDefault="001A1037" w:rsidP="00103735">
            <w:r>
              <w:t>Students are responsible for finding their own housing; however information and contacts from previous summers are available.</w:t>
            </w:r>
          </w:p>
          <w:p w:rsidR="001A1037" w:rsidRDefault="001A1037" w:rsidP="001A1037">
            <w:pPr>
              <w:jc w:val="center"/>
            </w:pPr>
          </w:p>
        </w:tc>
        <w:tc>
          <w:tcPr>
            <w:tcW w:w="3654" w:type="dxa"/>
          </w:tcPr>
          <w:p w:rsidR="003C7338" w:rsidRPr="001A1037" w:rsidRDefault="001A1037" w:rsidP="001A1037">
            <w:pPr>
              <w:spacing w:after="120"/>
              <w:jc w:val="center"/>
              <w:rPr>
                <w:b/>
                <w:smallCaps/>
                <w:sz w:val="24"/>
                <w:szCs w:val="24"/>
              </w:rPr>
            </w:pPr>
            <w:r w:rsidRPr="001A1037">
              <w:rPr>
                <w:b/>
                <w:smallCaps/>
                <w:sz w:val="24"/>
                <w:szCs w:val="24"/>
              </w:rPr>
              <w:t>Compensation</w:t>
            </w:r>
          </w:p>
          <w:p w:rsidR="001A1037" w:rsidRPr="001A1037" w:rsidRDefault="00652E8C" w:rsidP="00103735">
            <w:r>
              <w:t>Due to visa requirements, students are not compensated.</w:t>
            </w:r>
          </w:p>
        </w:tc>
        <w:tc>
          <w:tcPr>
            <w:tcW w:w="3654" w:type="dxa"/>
          </w:tcPr>
          <w:p w:rsidR="003C7338" w:rsidRPr="001A1037" w:rsidRDefault="001A1037" w:rsidP="001A103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1A1037">
              <w:rPr>
                <w:b/>
                <w:smallCaps/>
                <w:sz w:val="24"/>
                <w:szCs w:val="24"/>
              </w:rPr>
              <w:t>Financial Aid</w:t>
            </w:r>
          </w:p>
          <w:p w:rsidR="001A1037" w:rsidRPr="001A1037" w:rsidRDefault="001A1037" w:rsidP="00103735">
            <w:pPr>
              <w:rPr>
                <w:rFonts w:cstheme="minorHAnsi"/>
              </w:rPr>
            </w:pPr>
            <w:r w:rsidRPr="00201AF7">
              <w:rPr>
                <w:rFonts w:cstheme="minorHAnsi"/>
              </w:rPr>
              <w:t>Summer financial aid is available through a private or Graduate</w:t>
            </w:r>
            <w:r w:rsidR="00201AF7" w:rsidRPr="00201AF7">
              <w:rPr>
                <w:rFonts w:cstheme="minorHAnsi"/>
              </w:rPr>
              <w:t xml:space="preserve"> </w:t>
            </w:r>
            <w:r w:rsidRPr="00201AF7">
              <w:rPr>
                <w:rFonts w:cstheme="minorHAnsi"/>
              </w:rPr>
              <w:t>PLUS Loan.</w:t>
            </w:r>
            <w:r w:rsidR="00201AF7" w:rsidRPr="00201AF7">
              <w:rPr>
                <w:rFonts w:cstheme="minorHAnsi"/>
              </w:rPr>
              <w:t xml:space="preserve">  Questions, contact the Financial Aid Office at (415) 422-6210 or </w:t>
            </w:r>
            <w:hyperlink r:id="rId18" w:history="1">
              <w:r w:rsidR="00201AF7" w:rsidRPr="00201AF7">
                <w:rPr>
                  <w:rFonts w:cstheme="minorHAnsi"/>
                  <w:u w:val="single"/>
                </w:rPr>
                <w:t>lawfinaid@usfca.edu</w:t>
              </w:r>
            </w:hyperlink>
            <w:r w:rsidR="00201AF7" w:rsidRPr="00201AF7">
              <w:rPr>
                <w:rFonts w:cstheme="minorHAnsi"/>
              </w:rPr>
              <w:t>.</w:t>
            </w:r>
          </w:p>
        </w:tc>
        <w:tc>
          <w:tcPr>
            <w:tcW w:w="3654" w:type="dxa"/>
          </w:tcPr>
          <w:p w:rsidR="003C7338" w:rsidRPr="00201AF7" w:rsidRDefault="00652E8C" w:rsidP="00201AF7">
            <w:pPr>
              <w:spacing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Estimated Costs (2017</w:t>
            </w:r>
            <w:r w:rsidR="00201AF7" w:rsidRPr="00201AF7">
              <w:rPr>
                <w:b/>
                <w:smallCaps/>
                <w:sz w:val="24"/>
                <w:szCs w:val="24"/>
              </w:rPr>
              <w:t>)</w:t>
            </w:r>
          </w:p>
          <w:p w:rsidR="00201AF7" w:rsidRPr="00405B2B" w:rsidRDefault="00652E8C" w:rsidP="00201AF7">
            <w:pPr>
              <w:pStyle w:val="ListParagraph"/>
              <w:numPr>
                <w:ilvl w:val="0"/>
                <w:numId w:val="10"/>
              </w:numPr>
              <w:ind w:left="378" w:hanging="180"/>
              <w:rPr>
                <w:b/>
              </w:rPr>
            </w:pPr>
            <w:r>
              <w:t>China  $9,300</w:t>
            </w:r>
          </w:p>
          <w:p w:rsidR="00405B2B" w:rsidRPr="00201AF7" w:rsidRDefault="00652E8C" w:rsidP="00201AF7">
            <w:pPr>
              <w:pStyle w:val="ListParagraph"/>
              <w:numPr>
                <w:ilvl w:val="0"/>
                <w:numId w:val="10"/>
              </w:numPr>
              <w:ind w:left="378" w:hanging="180"/>
              <w:rPr>
                <w:b/>
              </w:rPr>
            </w:pPr>
            <w:r>
              <w:t>Czech Republic $11,300</w:t>
            </w:r>
          </w:p>
          <w:p w:rsidR="00201AF7" w:rsidRPr="00201AF7" w:rsidRDefault="00C822DB" w:rsidP="00201AF7">
            <w:pPr>
              <w:pStyle w:val="ListParagraph"/>
              <w:numPr>
                <w:ilvl w:val="0"/>
                <w:numId w:val="10"/>
              </w:numPr>
              <w:ind w:left="378" w:hanging="180"/>
              <w:rPr>
                <w:b/>
              </w:rPr>
            </w:pPr>
            <w:r>
              <w:t>Europe-IP  $12,55</w:t>
            </w:r>
            <w:r w:rsidR="00652E8C">
              <w:t>0 - $13,050</w:t>
            </w:r>
          </w:p>
          <w:p w:rsidR="00201AF7" w:rsidRPr="00201AF7" w:rsidRDefault="00652E8C" w:rsidP="00201AF7">
            <w:pPr>
              <w:pStyle w:val="ListParagraph"/>
              <w:numPr>
                <w:ilvl w:val="0"/>
                <w:numId w:val="10"/>
              </w:numPr>
              <w:ind w:left="378" w:hanging="180"/>
              <w:rPr>
                <w:b/>
              </w:rPr>
            </w:pPr>
            <w:r>
              <w:t>Mexico $8,500</w:t>
            </w:r>
          </w:p>
          <w:p w:rsidR="00201AF7" w:rsidRPr="00201AF7" w:rsidRDefault="00652E8C" w:rsidP="00201AF7">
            <w:pPr>
              <w:pStyle w:val="ListParagraph"/>
              <w:numPr>
                <w:ilvl w:val="0"/>
                <w:numId w:val="10"/>
              </w:numPr>
              <w:ind w:left="378" w:hanging="180"/>
              <w:rPr>
                <w:b/>
              </w:rPr>
            </w:pPr>
            <w:r>
              <w:t>Vietnam   $10,000 - $10,500</w:t>
            </w:r>
          </w:p>
        </w:tc>
      </w:tr>
      <w:tr w:rsidR="003C7338" w:rsidTr="003C7338">
        <w:tc>
          <w:tcPr>
            <w:tcW w:w="3654" w:type="dxa"/>
          </w:tcPr>
          <w:p w:rsidR="003C7338" w:rsidRDefault="00103735" w:rsidP="00306D3F">
            <w:pPr>
              <w:spacing w:after="12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Paper</w:t>
            </w:r>
          </w:p>
          <w:p w:rsidR="00306D3F" w:rsidRDefault="00103735" w:rsidP="00103735">
            <w:r w:rsidRPr="00103735">
              <w:t xml:space="preserve">You may choose to write a paper </w:t>
            </w:r>
            <w:r>
              <w:t xml:space="preserve">       </w:t>
            </w:r>
            <w:r w:rsidRPr="00103735">
              <w:t xml:space="preserve">to fulfill the Upper Level Research &amp; Writing Requirement with the approval and supervision of the </w:t>
            </w:r>
            <w:r>
              <w:t xml:space="preserve">      </w:t>
            </w:r>
            <w:r w:rsidRPr="00103735">
              <w:t>USF Director.</w:t>
            </w:r>
          </w:p>
        </w:tc>
        <w:tc>
          <w:tcPr>
            <w:tcW w:w="3654" w:type="dxa"/>
          </w:tcPr>
          <w:p w:rsidR="00306D3F" w:rsidRPr="00306D3F" w:rsidRDefault="00306D3F" w:rsidP="00306D3F">
            <w:pPr>
              <w:spacing w:after="60"/>
              <w:jc w:val="center"/>
              <w:rPr>
                <w:b/>
                <w:smallCaps/>
                <w:sz w:val="24"/>
              </w:rPr>
            </w:pPr>
            <w:r w:rsidRPr="00306D3F">
              <w:rPr>
                <w:b/>
                <w:smallCaps/>
                <w:sz w:val="24"/>
              </w:rPr>
              <w:t>Program Requirements</w:t>
            </w:r>
          </w:p>
          <w:p w:rsidR="00007163" w:rsidRPr="00007163" w:rsidRDefault="00007163" w:rsidP="00306D3F">
            <w:pPr>
              <w:pStyle w:val="ListParagraph"/>
              <w:numPr>
                <w:ilvl w:val="0"/>
                <w:numId w:val="11"/>
              </w:numPr>
              <w:ind w:left="306" w:hanging="180"/>
              <w:rPr>
                <w:b/>
              </w:rPr>
            </w:pPr>
            <w:r>
              <w:t>Pre-departure, tr</w:t>
            </w:r>
            <w:r w:rsidR="00103735">
              <w:t>aining and wrap-up sessions (3)</w:t>
            </w:r>
          </w:p>
          <w:p w:rsidR="00306D3F" w:rsidRPr="00306D3F" w:rsidRDefault="00306D3F" w:rsidP="00306D3F">
            <w:pPr>
              <w:pStyle w:val="ListParagraph"/>
              <w:numPr>
                <w:ilvl w:val="0"/>
                <w:numId w:val="11"/>
              </w:numPr>
              <w:ind w:left="306" w:hanging="180"/>
              <w:rPr>
                <w:b/>
              </w:rPr>
            </w:pPr>
            <w:r>
              <w:t xml:space="preserve">Weekly timesheets signed by your supervisor </w:t>
            </w:r>
          </w:p>
          <w:p w:rsidR="00306D3F" w:rsidRPr="00306D3F" w:rsidRDefault="00306D3F" w:rsidP="00306D3F">
            <w:pPr>
              <w:pStyle w:val="ListParagraph"/>
              <w:numPr>
                <w:ilvl w:val="0"/>
                <w:numId w:val="11"/>
              </w:numPr>
              <w:ind w:left="306" w:hanging="180"/>
              <w:rPr>
                <w:b/>
              </w:rPr>
            </w:pPr>
            <w:r>
              <w:t>Weekly reflection to your Director</w:t>
            </w:r>
          </w:p>
          <w:p w:rsidR="00306D3F" w:rsidRPr="00306D3F" w:rsidRDefault="00306D3F" w:rsidP="00007163">
            <w:pPr>
              <w:pStyle w:val="ListParagraph"/>
              <w:ind w:left="306"/>
              <w:rPr>
                <w:b/>
              </w:rPr>
            </w:pPr>
          </w:p>
        </w:tc>
        <w:tc>
          <w:tcPr>
            <w:tcW w:w="3654" w:type="dxa"/>
          </w:tcPr>
          <w:p w:rsidR="003C7338" w:rsidRDefault="003B4079" w:rsidP="00306D3F">
            <w:pPr>
              <w:spacing w:after="12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Timeline</w:t>
            </w:r>
          </w:p>
          <w:p w:rsidR="00306D3F" w:rsidRPr="003B4079" w:rsidRDefault="00C822DB" w:rsidP="00306D3F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b/>
                <w:smallCaps/>
              </w:rPr>
            </w:pPr>
            <w:r>
              <w:t>January 25, 2018</w:t>
            </w:r>
            <w:r w:rsidR="00AD2490">
              <w:t xml:space="preserve"> Application</w:t>
            </w:r>
            <w:r w:rsidR="00405B2B">
              <w:t xml:space="preserve"> D</w:t>
            </w:r>
            <w:r w:rsidR="00306D3F">
              <w:t xml:space="preserve">ue </w:t>
            </w:r>
          </w:p>
          <w:p w:rsidR="003B4079" w:rsidRPr="00306D3F" w:rsidRDefault="00C822DB" w:rsidP="00306D3F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b/>
                <w:smallCaps/>
              </w:rPr>
            </w:pPr>
            <w:r>
              <w:t>February 2018</w:t>
            </w:r>
            <w:r w:rsidR="003B4079">
              <w:t xml:space="preserve"> Interviews</w:t>
            </w:r>
          </w:p>
          <w:p w:rsidR="00306D3F" w:rsidRPr="00306D3F" w:rsidRDefault="00C822DB" w:rsidP="00306D3F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b/>
                <w:smallCaps/>
              </w:rPr>
            </w:pPr>
            <w:r>
              <w:t>March 5, 2018</w:t>
            </w:r>
            <w:r w:rsidR="00306D3F">
              <w:t xml:space="preserve"> Deposit of $350 Due </w:t>
            </w:r>
          </w:p>
          <w:p w:rsidR="00306D3F" w:rsidRPr="00306D3F" w:rsidRDefault="00C822DB" w:rsidP="00306D3F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b/>
                <w:smallCaps/>
              </w:rPr>
            </w:pPr>
            <w:r>
              <w:t>May 1, 2018</w:t>
            </w:r>
            <w:r w:rsidR="00306D3F">
              <w:t xml:space="preserve">  Tuition Due</w:t>
            </w:r>
          </w:p>
        </w:tc>
        <w:tc>
          <w:tcPr>
            <w:tcW w:w="3654" w:type="dxa"/>
          </w:tcPr>
          <w:p w:rsidR="003C7338" w:rsidRDefault="004C4390" w:rsidP="009523F1">
            <w:pPr>
              <w:spacing w:after="120"/>
              <w:jc w:val="center"/>
              <w:rPr>
                <w:b/>
                <w:smallCaps/>
                <w:sz w:val="24"/>
                <w:szCs w:val="24"/>
              </w:rPr>
            </w:pPr>
            <w:r w:rsidRPr="004C4390">
              <w:rPr>
                <w:b/>
                <w:smallCaps/>
                <w:sz w:val="24"/>
                <w:szCs w:val="24"/>
              </w:rPr>
              <w:t>Questions</w:t>
            </w:r>
          </w:p>
          <w:p w:rsidR="004C4390" w:rsidRPr="009523F1" w:rsidRDefault="009523F1" w:rsidP="009523F1">
            <w:pPr>
              <w:jc w:val="center"/>
            </w:pPr>
            <w:r w:rsidRPr="009523F1">
              <w:t>Esther Sprague, Coordinator</w:t>
            </w:r>
          </w:p>
          <w:p w:rsidR="009523F1" w:rsidRPr="009523F1" w:rsidRDefault="000B0020" w:rsidP="009523F1">
            <w:pPr>
              <w:jc w:val="center"/>
            </w:pPr>
            <w:hyperlink r:id="rId19" w:history="1">
              <w:r w:rsidR="009523F1" w:rsidRPr="009523F1">
                <w:rPr>
                  <w:rStyle w:val="Hyperlink"/>
                </w:rPr>
                <w:t>lawsummerabroad@usfca.edu</w:t>
              </w:r>
            </w:hyperlink>
          </w:p>
          <w:p w:rsidR="009523F1" w:rsidRPr="009523F1" w:rsidRDefault="009523F1" w:rsidP="009523F1">
            <w:pPr>
              <w:jc w:val="center"/>
            </w:pPr>
            <w:r w:rsidRPr="009523F1">
              <w:t>415.422.6280</w:t>
            </w:r>
            <w:r w:rsidR="00A443FC">
              <w:t xml:space="preserve"> / KN342</w:t>
            </w:r>
          </w:p>
          <w:p w:rsidR="00405B2B" w:rsidRPr="00405B2B" w:rsidRDefault="000B0020" w:rsidP="00405B2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05B2B" w:rsidRPr="00405B2B">
                <w:rPr>
                  <w:rStyle w:val="Hyperlink"/>
                  <w:color w:val="auto"/>
                  <w:sz w:val="24"/>
                  <w:szCs w:val="24"/>
                  <w:u w:val="none"/>
                </w:rPr>
                <w:t>https://myusf.usfca.edu/law/</w:t>
              </w:r>
            </w:hyperlink>
          </w:p>
          <w:p w:rsidR="009523F1" w:rsidRPr="009523F1" w:rsidRDefault="00405B2B" w:rsidP="00405B2B">
            <w:pPr>
              <w:jc w:val="center"/>
              <w:rPr>
                <w:sz w:val="24"/>
                <w:szCs w:val="24"/>
              </w:rPr>
            </w:pPr>
            <w:r w:rsidRPr="00405B2B">
              <w:rPr>
                <w:sz w:val="24"/>
                <w:szCs w:val="24"/>
              </w:rPr>
              <w:t>academics/international/financial</w:t>
            </w:r>
          </w:p>
        </w:tc>
      </w:tr>
    </w:tbl>
    <w:p w:rsidR="00AE1DE5" w:rsidRPr="00DA0B72" w:rsidRDefault="00AE1DE5" w:rsidP="00AE1DE5">
      <w:pPr>
        <w:spacing w:after="0"/>
        <w:rPr>
          <w:rFonts w:cstheme="minorHAnsi"/>
        </w:rPr>
      </w:pPr>
    </w:p>
    <w:p w:rsidR="007C6E9A" w:rsidRPr="00E3184B" w:rsidRDefault="003B4079" w:rsidP="003B4079">
      <w:pPr>
        <w:spacing w:after="0"/>
        <w:rPr>
          <w:rFonts w:cstheme="minorHAnsi"/>
        </w:rPr>
      </w:pPr>
      <w:r w:rsidRPr="003B407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F4E46" wp14:editId="2F5A966B">
                <wp:simplePos x="0" y="0"/>
                <wp:positionH relativeFrom="column">
                  <wp:posOffset>952500</wp:posOffset>
                </wp:positionH>
                <wp:positionV relativeFrom="paragraph">
                  <wp:posOffset>311785</wp:posOffset>
                </wp:positionV>
                <wp:extent cx="8191500" cy="695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79" w:rsidRPr="003B4079" w:rsidRDefault="003B4079" w:rsidP="005D38FB">
                            <w:pPr>
                              <w:spacing w:after="60"/>
                              <w:rPr>
                                <w:i/>
                              </w:rPr>
                            </w:pPr>
                            <w:r w:rsidRPr="003B4079">
                              <w:rPr>
                                <w:i/>
                              </w:rPr>
                              <w:t>“I strongly recommend this program if you are looking for something you can do this summer that will l</w:t>
                            </w:r>
                            <w:r>
                              <w:rPr>
                                <w:i/>
                              </w:rPr>
                              <w:t xml:space="preserve">ook really good on your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resume,</w:t>
                            </w:r>
                            <w:r w:rsidRPr="003B4079">
                              <w:rPr>
                                <w:i/>
                              </w:rPr>
                              <w:t xml:space="preserve"> that</w:t>
                            </w:r>
                            <w:proofErr w:type="gramEnd"/>
                            <w:r w:rsidRPr="003B4079">
                              <w:rPr>
                                <w:i/>
                              </w:rPr>
                              <w:t xml:space="preserve"> will not demand much of your time to set-up, and will provide you with an amazing learning experience.”</w:t>
                            </w:r>
                          </w:p>
                          <w:p w:rsidR="003B4079" w:rsidRDefault="003B4079" w:rsidP="003B4079">
                            <w:pPr>
                              <w:jc w:val="right"/>
                            </w:pPr>
                            <w:r w:rsidRPr="003B4079">
                              <w:rPr>
                                <w:b/>
                              </w:rPr>
                              <w:t>Alex Wiegel ‘17</w:t>
                            </w:r>
                            <w:r w:rsidR="005D38FB">
                              <w:t>, UN Office on</w:t>
                            </w:r>
                            <w:r>
                              <w:t xml:space="preserve"> Drugs and Crime,</w:t>
                            </w:r>
                            <w:r w:rsidR="005D38FB">
                              <w:t xml:space="preserve"> Hanoi,</w:t>
                            </w:r>
                            <w:r>
                              <w:t xml:space="preserve"> Vietnam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24.55pt;width:64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" filled="f" stroked="f">
                <v:textbox>
                  <w:txbxContent>
                    <w:p w:rsidR="003B4079" w:rsidRPr="003B4079" w:rsidRDefault="003B4079" w:rsidP="005D38FB">
                      <w:pPr>
                        <w:spacing w:after="60"/>
                        <w:rPr>
                          <w:i/>
                        </w:rPr>
                      </w:pPr>
                      <w:r w:rsidRPr="003B4079">
                        <w:rPr>
                          <w:i/>
                        </w:rPr>
                        <w:t>“I strongly recommend this program if you are looking for something you can do this summer that will l</w:t>
                      </w:r>
                      <w:r>
                        <w:rPr>
                          <w:i/>
                        </w:rPr>
                        <w:t xml:space="preserve">ook really good on your </w:t>
                      </w:r>
                      <w:proofErr w:type="gramStart"/>
                      <w:r>
                        <w:rPr>
                          <w:i/>
                        </w:rPr>
                        <w:t>resume,</w:t>
                      </w:r>
                      <w:r w:rsidRPr="003B4079">
                        <w:rPr>
                          <w:i/>
                        </w:rPr>
                        <w:t xml:space="preserve"> that</w:t>
                      </w:r>
                      <w:proofErr w:type="gramEnd"/>
                      <w:r w:rsidRPr="003B4079">
                        <w:rPr>
                          <w:i/>
                        </w:rPr>
                        <w:t xml:space="preserve"> will not demand much of your time to set-up, and will provide you with an amazing learning experience.”</w:t>
                      </w:r>
                    </w:p>
                    <w:p w:rsidR="003B4079" w:rsidRDefault="003B4079" w:rsidP="003B4079">
                      <w:pPr>
                        <w:jc w:val="right"/>
                      </w:pPr>
                      <w:r w:rsidRPr="003B4079">
                        <w:rPr>
                          <w:b/>
                        </w:rPr>
                        <w:t>Alex Wiegel ‘17</w:t>
                      </w:r>
                      <w:r w:rsidR="005D38FB">
                        <w:t>, UN Office on</w:t>
                      </w:r>
                      <w:r>
                        <w:t xml:space="preserve"> Drugs and Crime,</w:t>
                      </w:r>
                      <w:r w:rsidR="005D38FB">
                        <w:t xml:space="preserve"> Hanoi,</w:t>
                      </w:r>
                      <w:r>
                        <w:t xml:space="preserve"> Vietnam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10C301F7" wp14:editId="242F1209">
            <wp:extent cx="781050" cy="1013995"/>
            <wp:effectExtent l="19050" t="19050" r="1905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51" cy="101944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7C6E9A" w:rsidRPr="00E3184B" w:rsidSect="007C6E9A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0A" w:rsidRDefault="0011430A" w:rsidP="0011430A">
      <w:pPr>
        <w:spacing w:after="0" w:line="240" w:lineRule="auto"/>
      </w:pPr>
      <w:r>
        <w:separator/>
      </w:r>
    </w:p>
  </w:endnote>
  <w:endnote w:type="continuationSeparator" w:id="0">
    <w:p w:rsidR="0011430A" w:rsidRDefault="0011430A" w:rsidP="0011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A" w:rsidRPr="00EA5537" w:rsidRDefault="0011430A" w:rsidP="000B0020">
    <w:pPr>
      <w:pStyle w:val="Footer"/>
      <w:tabs>
        <w:tab w:val="left" w:pos="5760"/>
      </w:tabs>
      <w:rPr>
        <w:b/>
      </w:rPr>
    </w:pPr>
    <w:r w:rsidRPr="00D85234">
      <w:rPr>
        <w:i/>
      </w:rPr>
      <w:t>Program availability based on enrollment.</w:t>
    </w:r>
    <w:r>
      <w:tab/>
    </w:r>
    <w:r w:rsidR="000B0020">
      <w:t xml:space="preserve">  </w:t>
    </w:r>
    <w:r w:rsidR="000B0020">
      <w:tab/>
    </w:r>
    <w:r w:rsidR="000B0020" w:rsidRPr="000B0020">
      <w:rPr>
        <w:i/>
      </w:rPr>
      <w:t>(Updated 11/21/17)</w:t>
    </w:r>
    <w:r>
      <w:tab/>
    </w:r>
    <w:r>
      <w:tab/>
    </w:r>
    <w:r w:rsidR="00EA5B20">
      <w:t xml:space="preserve">              </w:t>
    </w:r>
    <w:r w:rsidRPr="00EA5537">
      <w:rPr>
        <w:b/>
      </w:rPr>
      <w:t>Applica</w:t>
    </w:r>
    <w:r w:rsidR="00C822DB">
      <w:rPr>
        <w:b/>
      </w:rPr>
      <w:t>tion Deadline:  January 25, 2018</w:t>
    </w:r>
  </w:p>
  <w:p w:rsidR="0011430A" w:rsidRDefault="00114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0A" w:rsidRDefault="0011430A" w:rsidP="0011430A">
      <w:pPr>
        <w:spacing w:after="0" w:line="240" w:lineRule="auto"/>
      </w:pPr>
      <w:r>
        <w:separator/>
      </w:r>
    </w:p>
  </w:footnote>
  <w:footnote w:type="continuationSeparator" w:id="0">
    <w:p w:rsidR="0011430A" w:rsidRDefault="0011430A" w:rsidP="0011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B76"/>
    <w:multiLevelType w:val="hybridMultilevel"/>
    <w:tmpl w:val="AF98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90768"/>
    <w:multiLevelType w:val="hybridMultilevel"/>
    <w:tmpl w:val="9704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ACE"/>
    <w:multiLevelType w:val="hybridMultilevel"/>
    <w:tmpl w:val="2622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21C"/>
    <w:multiLevelType w:val="hybridMultilevel"/>
    <w:tmpl w:val="4EF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946E4"/>
    <w:multiLevelType w:val="hybridMultilevel"/>
    <w:tmpl w:val="9C4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2271C"/>
    <w:multiLevelType w:val="hybridMultilevel"/>
    <w:tmpl w:val="4BCAF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E06428"/>
    <w:multiLevelType w:val="hybridMultilevel"/>
    <w:tmpl w:val="91FE1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A16A36"/>
    <w:multiLevelType w:val="hybridMultilevel"/>
    <w:tmpl w:val="DFA6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D41A9"/>
    <w:multiLevelType w:val="hybridMultilevel"/>
    <w:tmpl w:val="5F5C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D18DA"/>
    <w:multiLevelType w:val="hybridMultilevel"/>
    <w:tmpl w:val="396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01BBB"/>
    <w:multiLevelType w:val="hybridMultilevel"/>
    <w:tmpl w:val="FFAA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C6872"/>
    <w:multiLevelType w:val="multilevel"/>
    <w:tmpl w:val="6622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97394"/>
    <w:multiLevelType w:val="hybridMultilevel"/>
    <w:tmpl w:val="9778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93"/>
    <w:rsid w:val="00007163"/>
    <w:rsid w:val="00045A24"/>
    <w:rsid w:val="00084A03"/>
    <w:rsid w:val="000B0020"/>
    <w:rsid w:val="000D4FFA"/>
    <w:rsid w:val="000E3616"/>
    <w:rsid w:val="000F7A79"/>
    <w:rsid w:val="00103735"/>
    <w:rsid w:val="0011430A"/>
    <w:rsid w:val="0016411F"/>
    <w:rsid w:val="001A1037"/>
    <w:rsid w:val="001B0D0E"/>
    <w:rsid w:val="001C2AD7"/>
    <w:rsid w:val="001E72A2"/>
    <w:rsid w:val="00201155"/>
    <w:rsid w:val="00201AF7"/>
    <w:rsid w:val="002125AC"/>
    <w:rsid w:val="00256C04"/>
    <w:rsid w:val="002C0E39"/>
    <w:rsid w:val="002E6956"/>
    <w:rsid w:val="00306D3F"/>
    <w:rsid w:val="00355360"/>
    <w:rsid w:val="00366A9B"/>
    <w:rsid w:val="003B14D4"/>
    <w:rsid w:val="003B4079"/>
    <w:rsid w:val="003C7338"/>
    <w:rsid w:val="003F4A2D"/>
    <w:rsid w:val="00401318"/>
    <w:rsid w:val="00405B2B"/>
    <w:rsid w:val="00416767"/>
    <w:rsid w:val="00485893"/>
    <w:rsid w:val="004C4390"/>
    <w:rsid w:val="004F27CC"/>
    <w:rsid w:val="004F3DDC"/>
    <w:rsid w:val="00507942"/>
    <w:rsid w:val="00515F1B"/>
    <w:rsid w:val="00564152"/>
    <w:rsid w:val="00571BE5"/>
    <w:rsid w:val="005916DC"/>
    <w:rsid w:val="005D38FB"/>
    <w:rsid w:val="005F30CB"/>
    <w:rsid w:val="005F5BB1"/>
    <w:rsid w:val="00652E8C"/>
    <w:rsid w:val="00671FA7"/>
    <w:rsid w:val="006817F1"/>
    <w:rsid w:val="00687FFE"/>
    <w:rsid w:val="006A470C"/>
    <w:rsid w:val="006E0F56"/>
    <w:rsid w:val="0076520B"/>
    <w:rsid w:val="007657BF"/>
    <w:rsid w:val="007666BB"/>
    <w:rsid w:val="00784F6D"/>
    <w:rsid w:val="00795FF6"/>
    <w:rsid w:val="007C6E9A"/>
    <w:rsid w:val="007F75FC"/>
    <w:rsid w:val="0081134D"/>
    <w:rsid w:val="0085695E"/>
    <w:rsid w:val="00872B3F"/>
    <w:rsid w:val="009523F1"/>
    <w:rsid w:val="009F13E0"/>
    <w:rsid w:val="009F2A72"/>
    <w:rsid w:val="00A443FC"/>
    <w:rsid w:val="00A50553"/>
    <w:rsid w:val="00AA0966"/>
    <w:rsid w:val="00AB5C01"/>
    <w:rsid w:val="00AD2490"/>
    <w:rsid w:val="00AE1DE5"/>
    <w:rsid w:val="00AF5FB7"/>
    <w:rsid w:val="00B81F7B"/>
    <w:rsid w:val="00BB6D96"/>
    <w:rsid w:val="00C77A9B"/>
    <w:rsid w:val="00C822DB"/>
    <w:rsid w:val="00C8629D"/>
    <w:rsid w:val="00CA4A85"/>
    <w:rsid w:val="00CB5E42"/>
    <w:rsid w:val="00CC326C"/>
    <w:rsid w:val="00D10B39"/>
    <w:rsid w:val="00D26899"/>
    <w:rsid w:val="00D43A13"/>
    <w:rsid w:val="00D85234"/>
    <w:rsid w:val="00DA0B72"/>
    <w:rsid w:val="00DB3222"/>
    <w:rsid w:val="00E2730F"/>
    <w:rsid w:val="00E3184B"/>
    <w:rsid w:val="00E4508E"/>
    <w:rsid w:val="00E800E4"/>
    <w:rsid w:val="00EA28AC"/>
    <w:rsid w:val="00EA5537"/>
    <w:rsid w:val="00EA5B20"/>
    <w:rsid w:val="00FE4391"/>
    <w:rsid w:val="00FF3375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E6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E6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E6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E6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15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67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0A"/>
  </w:style>
  <w:style w:type="paragraph" w:styleId="Footer">
    <w:name w:val="footer"/>
    <w:basedOn w:val="Normal"/>
    <w:link w:val="FooterChar"/>
    <w:uiPriority w:val="99"/>
    <w:unhideWhenUsed/>
    <w:rsid w:val="0011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0A"/>
  </w:style>
  <w:style w:type="character" w:customStyle="1" w:styleId="apple-converted-space">
    <w:name w:val="apple-converted-space"/>
    <w:basedOn w:val="DefaultParagraphFont"/>
    <w:rsid w:val="00C8629D"/>
  </w:style>
  <w:style w:type="character" w:styleId="FollowedHyperlink">
    <w:name w:val="FollowedHyperlink"/>
    <w:basedOn w:val="DefaultParagraphFont"/>
    <w:uiPriority w:val="99"/>
    <w:semiHidden/>
    <w:unhideWhenUsed/>
    <w:rsid w:val="00405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E6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E6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E6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E6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15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67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0A"/>
  </w:style>
  <w:style w:type="paragraph" w:styleId="Footer">
    <w:name w:val="footer"/>
    <w:basedOn w:val="Normal"/>
    <w:link w:val="FooterChar"/>
    <w:uiPriority w:val="99"/>
    <w:unhideWhenUsed/>
    <w:rsid w:val="0011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0A"/>
  </w:style>
  <w:style w:type="character" w:customStyle="1" w:styleId="apple-converted-space">
    <w:name w:val="apple-converted-space"/>
    <w:basedOn w:val="DefaultParagraphFont"/>
    <w:rsid w:val="00C8629D"/>
  </w:style>
  <w:style w:type="character" w:styleId="FollowedHyperlink">
    <w:name w:val="FollowedHyperlink"/>
    <w:basedOn w:val="DefaultParagraphFont"/>
    <w:uiPriority w:val="99"/>
    <w:semiHidden/>
    <w:unhideWhenUsed/>
    <w:rsid w:val="00405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mawhinney@usfca.edu" TargetMode="External"/><Relationship Id="rId18" Type="http://schemas.openxmlformats.org/officeDocument/2006/relationships/hyperlink" Target="mailto:lawfinaid@usfca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bmprice@usfc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mbrown@usfca.edu" TargetMode="External"/><Relationship Id="rId20" Type="http://schemas.openxmlformats.org/officeDocument/2006/relationships/hyperlink" Target="https://myusf.usfca.edu/la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harvey@harvey.la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mailto:lawsummerabroad@usfc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garveyj@usfca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C0D0-1D83-4893-A905-93D392D7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 Dons</dc:creator>
  <cp:lastModifiedBy>USF Dons</cp:lastModifiedBy>
  <cp:revision>4</cp:revision>
  <cp:lastPrinted>2016-01-15T21:03:00Z</cp:lastPrinted>
  <dcterms:created xsi:type="dcterms:W3CDTF">2017-11-18T02:27:00Z</dcterms:created>
  <dcterms:modified xsi:type="dcterms:W3CDTF">2017-11-21T23:16:00Z</dcterms:modified>
</cp:coreProperties>
</file>