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Default="003066E5" w:rsidP="00D35807">
      <w:pPr>
        <w:pStyle w:val="TOC1"/>
      </w:pPr>
    </w:p>
    <w:p w:rsidR="003066E5" w:rsidRPr="008E3AF9" w:rsidRDefault="003066E5" w:rsidP="00FE5783">
      <w:pPr>
        <w:jc w:val="center"/>
        <w:rPr>
          <w:rFonts w:ascii="Times New Roman" w:hAnsi="Times New Roman"/>
          <w:sz w:val="52"/>
          <w:szCs w:val="52"/>
        </w:rPr>
      </w:pPr>
      <w:smartTag w:uri="urn:schemas-microsoft-com:office:smarttags" w:element="PlaceType">
        <w:smartTag w:uri="urn:schemas-microsoft-com:office:smarttags" w:element="place">
          <w:r w:rsidRPr="008E3AF9">
            <w:rPr>
              <w:rFonts w:ascii="Times New Roman" w:hAnsi="Times New Roman"/>
              <w:sz w:val="52"/>
              <w:szCs w:val="52"/>
            </w:rPr>
            <w:t>University</w:t>
          </w:r>
        </w:smartTag>
        <w:r w:rsidRPr="008E3AF9">
          <w:rPr>
            <w:rFonts w:ascii="Times New Roman" w:hAnsi="Times New Roman"/>
            <w:sz w:val="52"/>
            <w:szCs w:val="52"/>
          </w:rPr>
          <w:t xml:space="preserve"> of </w:t>
        </w:r>
        <w:smartTag w:uri="urn:schemas-microsoft-com:office:smarttags" w:element="place">
          <w:r w:rsidRPr="008E3AF9">
            <w:rPr>
              <w:rFonts w:ascii="Times New Roman" w:hAnsi="Times New Roman"/>
              <w:sz w:val="52"/>
              <w:szCs w:val="52"/>
            </w:rPr>
            <w:t>San Francisco</w:t>
          </w:r>
        </w:smartTag>
      </w:smartTag>
    </w:p>
    <w:p w:rsidR="003066E5" w:rsidRPr="008E3AF9" w:rsidRDefault="003066E5" w:rsidP="00FE5783">
      <w:pPr>
        <w:jc w:val="center"/>
        <w:rPr>
          <w:rFonts w:ascii="Times New Roman" w:hAnsi="Times New Roman"/>
          <w:sz w:val="52"/>
          <w:szCs w:val="52"/>
        </w:rPr>
      </w:pPr>
      <w:r w:rsidRPr="008E3AF9">
        <w:rPr>
          <w:rFonts w:ascii="Times New Roman" w:hAnsi="Times New Roman"/>
          <w:sz w:val="52"/>
          <w:szCs w:val="52"/>
        </w:rPr>
        <w:t>Office of Contracts and Grants</w:t>
      </w:r>
    </w:p>
    <w:p w:rsidR="003066E5" w:rsidRPr="008E3AF9" w:rsidRDefault="003066E5" w:rsidP="00FE5783">
      <w:pPr>
        <w:jc w:val="center"/>
        <w:rPr>
          <w:rFonts w:ascii="Times New Roman" w:hAnsi="Times New Roman"/>
          <w:sz w:val="52"/>
          <w:szCs w:val="52"/>
        </w:rPr>
      </w:pPr>
      <w:r w:rsidRPr="008E3AF9">
        <w:rPr>
          <w:rFonts w:ascii="Times New Roman" w:hAnsi="Times New Roman"/>
          <w:sz w:val="52"/>
          <w:szCs w:val="52"/>
        </w:rPr>
        <w:t>Pre- and Post-Award Policies</w:t>
      </w:r>
      <w:r>
        <w:rPr>
          <w:rFonts w:ascii="Times New Roman" w:hAnsi="Times New Roman"/>
          <w:sz w:val="52"/>
          <w:szCs w:val="52"/>
        </w:rPr>
        <w:t xml:space="preserve"> &amp; Procedures</w:t>
      </w:r>
    </w:p>
    <w:p w:rsidR="003066E5" w:rsidRPr="008E3AF9" w:rsidRDefault="003066E5" w:rsidP="00FE5783">
      <w:pPr>
        <w:jc w:val="center"/>
        <w:rPr>
          <w:rFonts w:ascii="Times New Roman" w:hAnsi="Times New Roman"/>
          <w:sz w:val="52"/>
          <w:szCs w:val="52"/>
        </w:rPr>
      </w:pPr>
    </w:p>
    <w:p w:rsidR="003066E5" w:rsidRPr="008E3AF9" w:rsidRDefault="003066E5" w:rsidP="00FE5783">
      <w:pPr>
        <w:jc w:val="center"/>
        <w:rPr>
          <w:rFonts w:ascii="Times New Roman" w:hAnsi="Times New Roman"/>
          <w:sz w:val="52"/>
          <w:szCs w:val="52"/>
        </w:rPr>
      </w:pPr>
    </w:p>
    <w:p w:rsidR="003066E5" w:rsidRPr="008E3AF9" w:rsidRDefault="003066E5" w:rsidP="00FE5783">
      <w:pPr>
        <w:jc w:val="center"/>
        <w:rPr>
          <w:rFonts w:ascii="Times New Roman" w:hAnsi="Times New Roman"/>
          <w:sz w:val="52"/>
          <w:szCs w:val="52"/>
        </w:rPr>
      </w:pPr>
    </w:p>
    <w:p w:rsidR="003066E5" w:rsidRPr="00797395" w:rsidRDefault="003066E5" w:rsidP="00D35807">
      <w:pPr>
        <w:pStyle w:val="TOC1"/>
      </w:pPr>
    </w:p>
    <w:p w:rsidR="003066E5" w:rsidRDefault="003066E5" w:rsidP="00FE5783">
      <w:pPr>
        <w:jc w:val="center"/>
        <w:rPr>
          <w:rFonts w:ascii="Times New Roman" w:hAnsi="Times New Roman"/>
          <w:b/>
          <w:sz w:val="40"/>
          <w:szCs w:val="40"/>
        </w:rPr>
      </w:pPr>
      <w:r w:rsidRPr="003F0456">
        <w:rPr>
          <w:rFonts w:ascii="Times New Roman" w:hAnsi="Times New Roman"/>
          <w:b/>
          <w:sz w:val="40"/>
          <w:szCs w:val="40"/>
        </w:rPr>
        <w:t xml:space="preserve">Revised </w:t>
      </w:r>
      <w:r w:rsidR="003F0456" w:rsidRPr="003F0456">
        <w:rPr>
          <w:rFonts w:ascii="Times New Roman" w:hAnsi="Times New Roman"/>
          <w:b/>
          <w:sz w:val="40"/>
          <w:szCs w:val="40"/>
        </w:rPr>
        <w:t xml:space="preserve">February </w:t>
      </w:r>
      <w:r w:rsidR="00DC02D9" w:rsidRPr="003F0456">
        <w:rPr>
          <w:rFonts w:ascii="Times New Roman" w:hAnsi="Times New Roman"/>
          <w:b/>
          <w:sz w:val="40"/>
          <w:szCs w:val="40"/>
        </w:rPr>
        <w:t>201</w:t>
      </w:r>
      <w:r w:rsidR="0082781B" w:rsidRPr="003F0456">
        <w:rPr>
          <w:rFonts w:ascii="Times New Roman" w:hAnsi="Times New Roman"/>
          <w:b/>
          <w:sz w:val="40"/>
          <w:szCs w:val="40"/>
        </w:rPr>
        <w:t>5</w:t>
      </w:r>
      <w:r w:rsidRPr="003F0456">
        <w:rPr>
          <w:rFonts w:ascii="Times New Roman" w:hAnsi="Times New Roman"/>
          <w:b/>
          <w:sz w:val="40"/>
          <w:szCs w:val="40"/>
        </w:rPr>
        <w:t xml:space="preserve"> </w:t>
      </w:r>
    </w:p>
    <w:p w:rsidR="00392E1F" w:rsidRDefault="00392E1F" w:rsidP="00FE5783">
      <w:pPr>
        <w:jc w:val="center"/>
        <w:rPr>
          <w:rFonts w:ascii="Times New Roman" w:hAnsi="Times New Roman"/>
          <w:b/>
          <w:sz w:val="40"/>
          <w:szCs w:val="40"/>
        </w:rPr>
      </w:pPr>
    </w:p>
    <w:p w:rsidR="00392E1F" w:rsidRPr="003F0456" w:rsidRDefault="00392E1F" w:rsidP="00FE5783">
      <w:pPr>
        <w:jc w:val="center"/>
        <w:rPr>
          <w:rFonts w:ascii="Times New Roman" w:hAnsi="Times New Roman"/>
          <w:b/>
          <w:sz w:val="40"/>
          <w:szCs w:val="40"/>
        </w:rPr>
        <w:sectPr w:rsidR="00392E1F" w:rsidRPr="003F0456" w:rsidSect="006D2DC1">
          <w:footerReference w:type="default" r:id="rId9"/>
          <w:pgSz w:w="12240" w:h="15840"/>
          <w:pgMar w:top="1440" w:right="1440" w:bottom="1080" w:left="1440" w:header="720" w:footer="720" w:gutter="0"/>
          <w:cols w:space="720"/>
          <w:titlePg/>
          <w:docGrid w:linePitch="360"/>
        </w:sectPr>
      </w:pPr>
      <w:r>
        <w:rPr>
          <w:rFonts w:ascii="Times New Roman" w:hAnsi="Times New Roman"/>
          <w:b/>
          <w:sz w:val="40"/>
          <w:szCs w:val="40"/>
        </w:rPr>
        <w:t>Revision 7/29</w:t>
      </w:r>
      <w:bookmarkStart w:id="0" w:name="_GoBack"/>
      <w:bookmarkEnd w:id="0"/>
      <w:r>
        <w:rPr>
          <w:rFonts w:ascii="Times New Roman" w:hAnsi="Times New Roman"/>
          <w:b/>
          <w:sz w:val="40"/>
          <w:szCs w:val="40"/>
        </w:rPr>
        <w:t>/2015</w:t>
      </w:r>
    </w:p>
    <w:p w:rsidR="003066E5" w:rsidRPr="008E3AF9" w:rsidRDefault="003066E5" w:rsidP="00D35807">
      <w:pPr>
        <w:pStyle w:val="TOC1"/>
      </w:pPr>
      <w:r w:rsidRPr="008E3AF9">
        <w:lastRenderedPageBreak/>
        <w:t>Table of Contents</w:t>
      </w:r>
    </w:p>
    <w:p w:rsidR="00237D4A" w:rsidRDefault="00A031F3">
      <w:pPr>
        <w:pStyle w:val="TOC1"/>
        <w:rPr>
          <w:rFonts w:asciiTheme="minorHAnsi" w:eastAsiaTheme="minorEastAsia" w:hAnsiTheme="minorHAnsi" w:cstheme="minorBidi"/>
          <w:noProof/>
        </w:rPr>
      </w:pPr>
      <w:r w:rsidRPr="008E3AF9">
        <w:rPr>
          <w:b/>
          <w:u w:val="single"/>
        </w:rPr>
        <w:fldChar w:fldCharType="begin"/>
      </w:r>
      <w:r w:rsidR="003066E5" w:rsidRPr="008E3AF9">
        <w:rPr>
          <w:b/>
          <w:u w:val="single"/>
        </w:rPr>
        <w:instrText xml:space="preserve"> TOC \o "1-4" \h \z \u </w:instrText>
      </w:r>
      <w:r w:rsidRPr="008E3AF9">
        <w:rPr>
          <w:b/>
          <w:u w:val="single"/>
        </w:rPr>
        <w:fldChar w:fldCharType="separate"/>
      </w:r>
      <w:hyperlink w:anchor="_Toc405369363" w:history="1">
        <w:r w:rsidR="00237D4A" w:rsidRPr="00A0230A">
          <w:rPr>
            <w:rStyle w:val="Hyperlink"/>
            <w:noProof/>
          </w:rPr>
          <w:t>Introduction</w:t>
        </w:r>
        <w:r w:rsidR="00237D4A">
          <w:rPr>
            <w:noProof/>
            <w:webHidden/>
          </w:rPr>
          <w:tab/>
        </w:r>
        <w:r>
          <w:rPr>
            <w:noProof/>
            <w:webHidden/>
          </w:rPr>
          <w:fldChar w:fldCharType="begin"/>
        </w:r>
        <w:r w:rsidR="00237D4A">
          <w:rPr>
            <w:noProof/>
            <w:webHidden/>
          </w:rPr>
          <w:instrText xml:space="preserve"> PAGEREF _Toc405369363 \h </w:instrText>
        </w:r>
        <w:r>
          <w:rPr>
            <w:noProof/>
            <w:webHidden/>
          </w:rPr>
        </w:r>
        <w:r>
          <w:rPr>
            <w:noProof/>
            <w:webHidden/>
          </w:rPr>
          <w:fldChar w:fldCharType="separate"/>
        </w:r>
        <w:r w:rsidR="00237D4A">
          <w:rPr>
            <w:noProof/>
            <w:webHidden/>
          </w:rPr>
          <w:t>4</w:t>
        </w:r>
        <w:r>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64" w:history="1">
        <w:r w:rsidR="00237D4A" w:rsidRPr="00A0230A">
          <w:rPr>
            <w:rStyle w:val="Hyperlink"/>
            <w:noProof/>
          </w:rPr>
          <w:t>PRE-AWARD</w:t>
        </w:r>
        <w:r w:rsidR="00237D4A">
          <w:rPr>
            <w:noProof/>
            <w:webHidden/>
          </w:rPr>
          <w:tab/>
        </w:r>
        <w:r w:rsidR="00A031F3">
          <w:rPr>
            <w:noProof/>
            <w:webHidden/>
          </w:rPr>
          <w:fldChar w:fldCharType="begin"/>
        </w:r>
        <w:r w:rsidR="00237D4A">
          <w:rPr>
            <w:noProof/>
            <w:webHidden/>
          </w:rPr>
          <w:instrText xml:space="preserve"> PAGEREF _Toc405369364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65" w:history="1">
        <w:r w:rsidR="00237D4A" w:rsidRPr="00A0230A">
          <w:rPr>
            <w:rStyle w:val="Hyperlink"/>
            <w:noProof/>
          </w:rPr>
          <w:t>I.</w:t>
        </w:r>
        <w:r w:rsidR="00237D4A">
          <w:rPr>
            <w:rFonts w:asciiTheme="minorHAnsi" w:eastAsiaTheme="minorEastAsia" w:hAnsiTheme="minorHAnsi" w:cstheme="minorBidi"/>
            <w:noProof/>
          </w:rPr>
          <w:tab/>
        </w:r>
        <w:r w:rsidR="00237D4A" w:rsidRPr="00A0230A">
          <w:rPr>
            <w:rStyle w:val="Hyperlink"/>
            <w:noProof/>
          </w:rPr>
          <w:t>Proposal Development, Coordination, and Submission Requirements</w:t>
        </w:r>
        <w:r w:rsidR="00237D4A">
          <w:rPr>
            <w:noProof/>
            <w:webHidden/>
          </w:rPr>
          <w:tab/>
        </w:r>
        <w:r w:rsidR="00A031F3">
          <w:rPr>
            <w:noProof/>
            <w:webHidden/>
          </w:rPr>
          <w:fldChar w:fldCharType="begin"/>
        </w:r>
        <w:r w:rsidR="00237D4A">
          <w:rPr>
            <w:noProof/>
            <w:webHidden/>
          </w:rPr>
          <w:instrText xml:space="preserve"> PAGEREF _Toc405369365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66" w:history="1">
        <w:r w:rsidR="00237D4A" w:rsidRPr="00A0230A">
          <w:rPr>
            <w:rStyle w:val="Hyperlink"/>
            <w:rFonts w:ascii="Times New Roman" w:hAnsi="Times New Roman"/>
            <w:i/>
            <w:noProof/>
          </w:rPr>
          <w:t>PI Eligibility</w:t>
        </w:r>
        <w:r w:rsidR="00237D4A">
          <w:rPr>
            <w:noProof/>
            <w:webHidden/>
          </w:rPr>
          <w:tab/>
        </w:r>
        <w:r w:rsidR="00A031F3">
          <w:rPr>
            <w:noProof/>
            <w:webHidden/>
          </w:rPr>
          <w:fldChar w:fldCharType="begin"/>
        </w:r>
        <w:r w:rsidR="00237D4A">
          <w:rPr>
            <w:noProof/>
            <w:webHidden/>
          </w:rPr>
          <w:instrText xml:space="preserve"> PAGEREF _Toc405369366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67" w:history="1">
        <w:r w:rsidR="00237D4A" w:rsidRPr="00A0230A">
          <w:rPr>
            <w:rStyle w:val="Hyperlink"/>
            <w:rFonts w:ascii="Times New Roman" w:hAnsi="Times New Roman"/>
            <w:i/>
            <w:noProof/>
          </w:rPr>
          <w:t>Proposal Process</w:t>
        </w:r>
        <w:r w:rsidR="00237D4A">
          <w:rPr>
            <w:noProof/>
            <w:webHidden/>
          </w:rPr>
          <w:tab/>
        </w:r>
        <w:r w:rsidR="00A031F3">
          <w:rPr>
            <w:noProof/>
            <w:webHidden/>
          </w:rPr>
          <w:fldChar w:fldCharType="begin"/>
        </w:r>
        <w:r w:rsidR="00237D4A">
          <w:rPr>
            <w:noProof/>
            <w:webHidden/>
          </w:rPr>
          <w:instrText xml:space="preserve"> PAGEREF _Toc405369367 \h </w:instrText>
        </w:r>
        <w:r w:rsidR="00A031F3">
          <w:rPr>
            <w:noProof/>
            <w:webHidden/>
          </w:rPr>
        </w:r>
        <w:r w:rsidR="00A031F3">
          <w:rPr>
            <w:noProof/>
            <w:webHidden/>
          </w:rPr>
          <w:fldChar w:fldCharType="separate"/>
        </w:r>
        <w:r w:rsidR="00237D4A">
          <w:rPr>
            <w:noProof/>
            <w:webHidden/>
          </w:rPr>
          <w:t>5</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68" w:history="1">
        <w:r w:rsidR="00237D4A" w:rsidRPr="00A0230A">
          <w:rPr>
            <w:rStyle w:val="Hyperlink"/>
            <w:rFonts w:ascii="Times New Roman" w:hAnsi="Times New Roman"/>
            <w:i/>
            <w:noProof/>
          </w:rPr>
          <w:t>Electronic Proposals</w:t>
        </w:r>
        <w:r w:rsidR="00237D4A">
          <w:rPr>
            <w:noProof/>
            <w:webHidden/>
          </w:rPr>
          <w:tab/>
        </w:r>
        <w:r w:rsidR="00A031F3">
          <w:rPr>
            <w:noProof/>
            <w:webHidden/>
          </w:rPr>
          <w:fldChar w:fldCharType="begin"/>
        </w:r>
        <w:r w:rsidR="00237D4A">
          <w:rPr>
            <w:noProof/>
            <w:webHidden/>
          </w:rPr>
          <w:instrText xml:space="preserve"> PAGEREF _Toc405369368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69" w:history="1">
        <w:r w:rsidR="00237D4A" w:rsidRPr="00A0230A">
          <w:rPr>
            <w:rStyle w:val="Hyperlink"/>
            <w:rFonts w:ascii="Times New Roman" w:hAnsi="Times New Roman"/>
            <w:i/>
            <w:noProof/>
          </w:rPr>
          <w:t>Signature Authority for Proposals</w:t>
        </w:r>
        <w:r w:rsidR="00237D4A">
          <w:rPr>
            <w:noProof/>
            <w:webHidden/>
          </w:rPr>
          <w:tab/>
        </w:r>
        <w:r w:rsidR="00A031F3">
          <w:rPr>
            <w:noProof/>
            <w:webHidden/>
          </w:rPr>
          <w:fldChar w:fldCharType="begin"/>
        </w:r>
        <w:r w:rsidR="00237D4A">
          <w:rPr>
            <w:noProof/>
            <w:webHidden/>
          </w:rPr>
          <w:instrText xml:space="preserve"> PAGEREF _Toc405369369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0" w:history="1">
        <w:r w:rsidR="00237D4A" w:rsidRPr="00A0230A">
          <w:rPr>
            <w:rStyle w:val="Hyperlink"/>
            <w:rFonts w:ascii="Times New Roman" w:hAnsi="Times New Roman"/>
            <w:i/>
            <w:noProof/>
          </w:rPr>
          <w:t>Special Issues Related to Human Subjects</w:t>
        </w:r>
        <w:r w:rsidR="00237D4A">
          <w:rPr>
            <w:noProof/>
            <w:webHidden/>
          </w:rPr>
          <w:tab/>
        </w:r>
        <w:r w:rsidR="00A031F3">
          <w:rPr>
            <w:noProof/>
            <w:webHidden/>
          </w:rPr>
          <w:fldChar w:fldCharType="begin"/>
        </w:r>
        <w:r w:rsidR="00237D4A">
          <w:rPr>
            <w:noProof/>
            <w:webHidden/>
          </w:rPr>
          <w:instrText xml:space="preserve"> PAGEREF _Toc405369370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71" w:history="1">
        <w:r w:rsidR="00237D4A" w:rsidRPr="00A0230A">
          <w:rPr>
            <w:rStyle w:val="Hyperlink"/>
            <w:noProof/>
          </w:rPr>
          <w:t>II.</w:t>
        </w:r>
        <w:r w:rsidR="00237D4A">
          <w:rPr>
            <w:rFonts w:asciiTheme="minorHAnsi" w:eastAsiaTheme="minorEastAsia" w:hAnsiTheme="minorHAnsi" w:cstheme="minorBidi"/>
            <w:noProof/>
          </w:rPr>
          <w:tab/>
        </w:r>
        <w:r w:rsidR="00237D4A" w:rsidRPr="00A0230A">
          <w:rPr>
            <w:rStyle w:val="Hyperlink"/>
            <w:noProof/>
          </w:rPr>
          <w:t>Award Process and Budget Development</w:t>
        </w:r>
        <w:r w:rsidR="00237D4A">
          <w:rPr>
            <w:noProof/>
            <w:webHidden/>
          </w:rPr>
          <w:tab/>
        </w:r>
        <w:r w:rsidR="00A031F3">
          <w:rPr>
            <w:noProof/>
            <w:webHidden/>
          </w:rPr>
          <w:fldChar w:fldCharType="begin"/>
        </w:r>
        <w:r w:rsidR="00237D4A">
          <w:rPr>
            <w:noProof/>
            <w:webHidden/>
          </w:rPr>
          <w:instrText xml:space="preserve"> PAGEREF _Toc405369371 \h </w:instrText>
        </w:r>
        <w:r w:rsidR="00A031F3">
          <w:rPr>
            <w:noProof/>
            <w:webHidden/>
          </w:rPr>
        </w:r>
        <w:r w:rsidR="00A031F3">
          <w:rPr>
            <w:noProof/>
            <w:webHidden/>
          </w:rPr>
          <w:fldChar w:fldCharType="separate"/>
        </w:r>
        <w:r w:rsidR="00237D4A">
          <w:rPr>
            <w:noProof/>
            <w:webHidden/>
          </w:rPr>
          <w:t>6</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2" w:history="1">
        <w:r w:rsidR="00237D4A" w:rsidRPr="00A0230A">
          <w:rPr>
            <w:rStyle w:val="Hyperlink"/>
            <w:rFonts w:ascii="Times New Roman" w:hAnsi="Times New Roman"/>
            <w:i/>
            <w:noProof/>
          </w:rPr>
          <w:t>Direct Costs</w:t>
        </w:r>
        <w:r w:rsidR="00237D4A">
          <w:rPr>
            <w:noProof/>
            <w:webHidden/>
          </w:rPr>
          <w:tab/>
        </w:r>
        <w:r w:rsidR="00A031F3">
          <w:rPr>
            <w:noProof/>
            <w:webHidden/>
          </w:rPr>
          <w:fldChar w:fldCharType="begin"/>
        </w:r>
        <w:r w:rsidR="00237D4A">
          <w:rPr>
            <w:noProof/>
            <w:webHidden/>
          </w:rPr>
          <w:instrText xml:space="preserve"> PAGEREF _Toc405369372 \h </w:instrText>
        </w:r>
        <w:r w:rsidR="00A031F3">
          <w:rPr>
            <w:noProof/>
            <w:webHidden/>
          </w:rPr>
        </w:r>
        <w:r w:rsidR="00A031F3">
          <w:rPr>
            <w:noProof/>
            <w:webHidden/>
          </w:rPr>
          <w:fldChar w:fldCharType="separate"/>
        </w:r>
        <w:r w:rsidR="00237D4A">
          <w:rPr>
            <w:noProof/>
            <w:webHidden/>
          </w:rPr>
          <w:t>7</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3" w:history="1">
        <w:r w:rsidR="00237D4A" w:rsidRPr="00A0230A">
          <w:rPr>
            <w:rStyle w:val="Hyperlink"/>
            <w:rFonts w:ascii="Times New Roman" w:hAnsi="Times New Roman"/>
            <w:i/>
            <w:noProof/>
          </w:rPr>
          <w:t>Personnel Expenses</w:t>
        </w:r>
        <w:r w:rsidR="00237D4A">
          <w:rPr>
            <w:noProof/>
            <w:webHidden/>
          </w:rPr>
          <w:tab/>
        </w:r>
        <w:r w:rsidR="00A031F3">
          <w:rPr>
            <w:noProof/>
            <w:webHidden/>
          </w:rPr>
          <w:fldChar w:fldCharType="begin"/>
        </w:r>
        <w:r w:rsidR="00237D4A">
          <w:rPr>
            <w:noProof/>
            <w:webHidden/>
          </w:rPr>
          <w:instrText xml:space="preserve"> PAGEREF _Toc405369373 \h </w:instrText>
        </w:r>
        <w:r w:rsidR="00A031F3">
          <w:rPr>
            <w:noProof/>
            <w:webHidden/>
          </w:rPr>
        </w:r>
        <w:r w:rsidR="00A031F3">
          <w:rPr>
            <w:noProof/>
            <w:webHidden/>
          </w:rPr>
          <w:fldChar w:fldCharType="separate"/>
        </w:r>
        <w:r w:rsidR="00237D4A">
          <w:rPr>
            <w:noProof/>
            <w:webHidden/>
          </w:rPr>
          <w:t>7</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4" w:history="1">
        <w:r w:rsidR="00237D4A" w:rsidRPr="00A0230A">
          <w:rPr>
            <w:rStyle w:val="Hyperlink"/>
            <w:rFonts w:ascii="Times New Roman" w:hAnsi="Times New Roman"/>
            <w:i/>
            <w:noProof/>
          </w:rPr>
          <w:t>Non-Personnel Expenses</w:t>
        </w:r>
        <w:r w:rsidR="00237D4A">
          <w:rPr>
            <w:noProof/>
            <w:webHidden/>
          </w:rPr>
          <w:tab/>
        </w:r>
        <w:r w:rsidR="00A031F3">
          <w:rPr>
            <w:noProof/>
            <w:webHidden/>
          </w:rPr>
          <w:fldChar w:fldCharType="begin"/>
        </w:r>
        <w:r w:rsidR="00237D4A">
          <w:rPr>
            <w:noProof/>
            <w:webHidden/>
          </w:rPr>
          <w:instrText xml:space="preserve"> PAGEREF _Toc405369374 \h </w:instrText>
        </w:r>
        <w:r w:rsidR="00A031F3">
          <w:rPr>
            <w:noProof/>
            <w:webHidden/>
          </w:rPr>
        </w:r>
        <w:r w:rsidR="00A031F3">
          <w:rPr>
            <w:noProof/>
            <w:webHidden/>
          </w:rPr>
          <w:fldChar w:fldCharType="separate"/>
        </w:r>
        <w:r w:rsidR="00237D4A">
          <w:rPr>
            <w:noProof/>
            <w:webHidden/>
          </w:rPr>
          <w:t>8</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5" w:history="1">
        <w:r w:rsidR="00237D4A" w:rsidRPr="00A0230A">
          <w:rPr>
            <w:rStyle w:val="Hyperlink"/>
            <w:rFonts w:ascii="Times New Roman" w:hAnsi="Times New Roman"/>
            <w:i/>
            <w:noProof/>
          </w:rPr>
          <w:t>Indirect Costs</w:t>
        </w:r>
        <w:r w:rsidR="00237D4A">
          <w:rPr>
            <w:noProof/>
            <w:webHidden/>
          </w:rPr>
          <w:tab/>
        </w:r>
        <w:r w:rsidR="00A031F3">
          <w:rPr>
            <w:noProof/>
            <w:webHidden/>
          </w:rPr>
          <w:fldChar w:fldCharType="begin"/>
        </w:r>
        <w:r w:rsidR="00237D4A">
          <w:rPr>
            <w:noProof/>
            <w:webHidden/>
          </w:rPr>
          <w:instrText xml:space="preserve"> PAGEREF _Toc405369375 \h </w:instrText>
        </w:r>
        <w:r w:rsidR="00A031F3">
          <w:rPr>
            <w:noProof/>
            <w:webHidden/>
          </w:rPr>
        </w:r>
        <w:r w:rsidR="00A031F3">
          <w:rPr>
            <w:noProof/>
            <w:webHidden/>
          </w:rPr>
          <w:fldChar w:fldCharType="separate"/>
        </w:r>
        <w:r w:rsidR="00237D4A">
          <w:rPr>
            <w:noProof/>
            <w:webHidden/>
          </w:rPr>
          <w:t>9</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6" w:history="1">
        <w:r w:rsidR="00237D4A" w:rsidRPr="00A0230A">
          <w:rPr>
            <w:rStyle w:val="Hyperlink"/>
            <w:rFonts w:ascii="Times New Roman" w:hAnsi="Times New Roman"/>
            <w:i/>
            <w:noProof/>
          </w:rPr>
          <w:t>Cost Sharing</w:t>
        </w:r>
        <w:r w:rsidR="00237D4A">
          <w:rPr>
            <w:noProof/>
            <w:webHidden/>
          </w:rPr>
          <w:tab/>
        </w:r>
        <w:r w:rsidR="00A031F3">
          <w:rPr>
            <w:noProof/>
            <w:webHidden/>
          </w:rPr>
          <w:fldChar w:fldCharType="begin"/>
        </w:r>
        <w:r w:rsidR="00237D4A">
          <w:rPr>
            <w:noProof/>
            <w:webHidden/>
          </w:rPr>
          <w:instrText xml:space="preserve"> PAGEREF _Toc405369376 \h </w:instrText>
        </w:r>
        <w:r w:rsidR="00A031F3">
          <w:rPr>
            <w:noProof/>
            <w:webHidden/>
          </w:rPr>
        </w:r>
        <w:r w:rsidR="00A031F3">
          <w:rPr>
            <w:noProof/>
            <w:webHidden/>
          </w:rPr>
          <w:fldChar w:fldCharType="separate"/>
        </w:r>
        <w:r w:rsidR="00237D4A">
          <w:rPr>
            <w:noProof/>
            <w:webHidden/>
          </w:rPr>
          <w:t>10</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77" w:history="1">
        <w:r w:rsidR="00237D4A" w:rsidRPr="00A0230A">
          <w:rPr>
            <w:rStyle w:val="Hyperlink"/>
            <w:noProof/>
          </w:rPr>
          <w:t>III.</w:t>
        </w:r>
        <w:r w:rsidR="00237D4A">
          <w:rPr>
            <w:rFonts w:asciiTheme="minorHAnsi" w:eastAsiaTheme="minorEastAsia" w:hAnsiTheme="minorHAnsi" w:cstheme="minorBidi"/>
            <w:noProof/>
          </w:rPr>
          <w:tab/>
        </w:r>
        <w:r w:rsidR="00237D4A" w:rsidRPr="00A0230A">
          <w:rPr>
            <w:rStyle w:val="Hyperlink"/>
            <w:noProof/>
          </w:rPr>
          <w:t>Negotiations and Subawards</w:t>
        </w:r>
        <w:r w:rsidR="00237D4A">
          <w:rPr>
            <w:noProof/>
            <w:webHidden/>
          </w:rPr>
          <w:tab/>
        </w:r>
        <w:r w:rsidR="00A031F3">
          <w:rPr>
            <w:noProof/>
            <w:webHidden/>
          </w:rPr>
          <w:fldChar w:fldCharType="begin"/>
        </w:r>
        <w:r w:rsidR="00237D4A">
          <w:rPr>
            <w:noProof/>
            <w:webHidden/>
          </w:rPr>
          <w:instrText xml:space="preserve"> PAGEREF _Toc405369377 \h </w:instrText>
        </w:r>
        <w:r w:rsidR="00A031F3">
          <w:rPr>
            <w:noProof/>
            <w:webHidden/>
          </w:rPr>
        </w:r>
        <w:r w:rsidR="00A031F3">
          <w:rPr>
            <w:noProof/>
            <w:webHidden/>
          </w:rPr>
          <w:fldChar w:fldCharType="separate"/>
        </w:r>
        <w:r w:rsidR="00237D4A">
          <w:rPr>
            <w:noProof/>
            <w:webHidden/>
          </w:rPr>
          <w:t>10</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78" w:history="1">
        <w:r w:rsidR="00237D4A" w:rsidRPr="00A0230A">
          <w:rPr>
            <w:rStyle w:val="Hyperlink"/>
            <w:noProof/>
          </w:rPr>
          <w:t>IV.</w:t>
        </w:r>
        <w:r w:rsidR="00237D4A">
          <w:rPr>
            <w:rFonts w:asciiTheme="minorHAnsi" w:eastAsiaTheme="minorEastAsia" w:hAnsiTheme="minorHAnsi" w:cstheme="minorBidi"/>
            <w:noProof/>
          </w:rPr>
          <w:tab/>
        </w:r>
        <w:r w:rsidR="00237D4A" w:rsidRPr="00A0230A">
          <w:rPr>
            <w:rStyle w:val="Hyperlink"/>
            <w:noProof/>
          </w:rPr>
          <w:t>Award Acceptance</w:t>
        </w:r>
        <w:r w:rsidR="00237D4A">
          <w:rPr>
            <w:noProof/>
            <w:webHidden/>
          </w:rPr>
          <w:tab/>
        </w:r>
        <w:r w:rsidR="00A031F3">
          <w:rPr>
            <w:noProof/>
            <w:webHidden/>
          </w:rPr>
          <w:fldChar w:fldCharType="begin"/>
        </w:r>
        <w:r w:rsidR="00237D4A">
          <w:rPr>
            <w:noProof/>
            <w:webHidden/>
          </w:rPr>
          <w:instrText xml:space="preserve"> PAGEREF _Toc405369378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79" w:history="1">
        <w:r w:rsidR="00237D4A" w:rsidRPr="00A0230A">
          <w:rPr>
            <w:rStyle w:val="Hyperlink"/>
            <w:rFonts w:ascii="Times New Roman" w:hAnsi="Times New Roman"/>
            <w:i/>
            <w:noProof/>
          </w:rPr>
          <w:t>Signature Authority for Awards</w:t>
        </w:r>
        <w:r w:rsidR="00237D4A">
          <w:rPr>
            <w:noProof/>
            <w:webHidden/>
          </w:rPr>
          <w:tab/>
        </w:r>
        <w:r w:rsidR="00A031F3">
          <w:rPr>
            <w:noProof/>
            <w:webHidden/>
          </w:rPr>
          <w:fldChar w:fldCharType="begin"/>
        </w:r>
        <w:r w:rsidR="00237D4A">
          <w:rPr>
            <w:noProof/>
            <w:webHidden/>
          </w:rPr>
          <w:instrText xml:space="preserve"> PAGEREF _Toc405369379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80" w:history="1">
        <w:r w:rsidR="00237D4A" w:rsidRPr="00A0230A">
          <w:rPr>
            <w:rStyle w:val="Hyperlink"/>
            <w:rFonts w:ascii="Times New Roman" w:hAnsi="Times New Roman"/>
            <w:i/>
            <w:noProof/>
          </w:rPr>
          <w:t>Transfer of Awards Between Institutions</w:t>
        </w:r>
        <w:r w:rsidR="00237D4A">
          <w:rPr>
            <w:noProof/>
            <w:webHidden/>
          </w:rPr>
          <w:tab/>
        </w:r>
        <w:r w:rsidR="00A031F3">
          <w:rPr>
            <w:noProof/>
            <w:webHidden/>
          </w:rPr>
          <w:fldChar w:fldCharType="begin"/>
        </w:r>
        <w:r w:rsidR="00237D4A">
          <w:rPr>
            <w:noProof/>
            <w:webHidden/>
          </w:rPr>
          <w:instrText xml:space="preserve"> PAGEREF _Toc405369380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92E1F">
      <w:pPr>
        <w:pStyle w:val="TOC2"/>
        <w:tabs>
          <w:tab w:val="right" w:leader="dot" w:pos="9350"/>
        </w:tabs>
        <w:rPr>
          <w:rFonts w:asciiTheme="minorHAnsi" w:eastAsiaTheme="minorEastAsia" w:hAnsiTheme="minorHAnsi" w:cstheme="minorBidi"/>
          <w:noProof/>
        </w:rPr>
      </w:pPr>
      <w:hyperlink w:anchor="_Toc405369381" w:history="1">
        <w:r w:rsidR="00237D4A" w:rsidRPr="00A0230A">
          <w:rPr>
            <w:rStyle w:val="Hyperlink"/>
            <w:rFonts w:ascii="Times New Roman" w:hAnsi="Times New Roman"/>
            <w:i/>
            <w:noProof/>
          </w:rPr>
          <w:t>Utilization of Advance Account if the Execution of the Grant Documents are Delayed</w:t>
        </w:r>
        <w:r w:rsidR="00237D4A">
          <w:rPr>
            <w:noProof/>
            <w:webHidden/>
          </w:rPr>
          <w:tab/>
        </w:r>
        <w:r w:rsidR="00A031F3">
          <w:rPr>
            <w:noProof/>
            <w:webHidden/>
          </w:rPr>
          <w:fldChar w:fldCharType="begin"/>
        </w:r>
        <w:r w:rsidR="00237D4A">
          <w:rPr>
            <w:noProof/>
            <w:webHidden/>
          </w:rPr>
          <w:instrText xml:space="preserve"> PAGEREF _Toc405369381 \h </w:instrText>
        </w:r>
        <w:r w:rsidR="00A031F3">
          <w:rPr>
            <w:noProof/>
            <w:webHidden/>
          </w:rPr>
        </w:r>
        <w:r w:rsidR="00A031F3">
          <w:rPr>
            <w:noProof/>
            <w:webHidden/>
          </w:rPr>
          <w:fldChar w:fldCharType="separate"/>
        </w:r>
        <w:r w:rsidR="00237D4A">
          <w:rPr>
            <w:noProof/>
            <w:webHidden/>
          </w:rPr>
          <w:t>11</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2" w:history="1">
        <w:r w:rsidR="00237D4A" w:rsidRPr="00A0230A">
          <w:rPr>
            <w:rStyle w:val="Hyperlink"/>
            <w:noProof/>
          </w:rPr>
          <w:t>V.</w:t>
        </w:r>
        <w:r w:rsidR="00237D4A">
          <w:rPr>
            <w:rFonts w:asciiTheme="minorHAnsi" w:eastAsiaTheme="minorEastAsia" w:hAnsiTheme="minorHAnsi" w:cstheme="minorBidi"/>
            <w:noProof/>
          </w:rPr>
          <w:tab/>
        </w:r>
        <w:r w:rsidR="00237D4A" w:rsidRPr="00A0230A">
          <w:rPr>
            <w:rStyle w:val="Hyperlink"/>
            <w:noProof/>
          </w:rPr>
          <w:t>Applicable Regulations</w:t>
        </w:r>
        <w:r w:rsidR="00237D4A">
          <w:rPr>
            <w:noProof/>
            <w:webHidden/>
          </w:rPr>
          <w:tab/>
        </w:r>
        <w:r w:rsidR="00A031F3">
          <w:rPr>
            <w:noProof/>
            <w:webHidden/>
          </w:rPr>
          <w:fldChar w:fldCharType="begin"/>
        </w:r>
        <w:r w:rsidR="00237D4A">
          <w:rPr>
            <w:noProof/>
            <w:webHidden/>
          </w:rPr>
          <w:instrText xml:space="preserve"> PAGEREF _Toc405369382 \h </w:instrText>
        </w:r>
        <w:r w:rsidR="00A031F3">
          <w:rPr>
            <w:noProof/>
            <w:webHidden/>
          </w:rPr>
        </w:r>
        <w:r w:rsidR="00A031F3">
          <w:rPr>
            <w:noProof/>
            <w:webHidden/>
          </w:rPr>
          <w:fldChar w:fldCharType="separate"/>
        </w:r>
        <w:r w:rsidR="00237D4A">
          <w:rPr>
            <w:noProof/>
            <w:webHidden/>
          </w:rPr>
          <w:t>12</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3" w:history="1">
        <w:r w:rsidR="00237D4A" w:rsidRPr="00A0230A">
          <w:rPr>
            <w:rStyle w:val="Hyperlink"/>
            <w:noProof/>
          </w:rPr>
          <w:t>VI.</w:t>
        </w:r>
        <w:r w:rsidR="00237D4A">
          <w:rPr>
            <w:rFonts w:asciiTheme="minorHAnsi" w:eastAsiaTheme="minorEastAsia" w:hAnsiTheme="minorHAnsi" w:cstheme="minorBidi"/>
            <w:noProof/>
          </w:rPr>
          <w:tab/>
        </w:r>
        <w:r w:rsidR="00237D4A" w:rsidRPr="00A0230A">
          <w:rPr>
            <w:rStyle w:val="Hyperlink"/>
            <w:noProof/>
          </w:rPr>
          <w:t>Certifications and Assurances</w:t>
        </w:r>
        <w:r w:rsidR="00237D4A">
          <w:rPr>
            <w:noProof/>
            <w:webHidden/>
          </w:rPr>
          <w:tab/>
        </w:r>
        <w:r w:rsidR="00A031F3">
          <w:rPr>
            <w:noProof/>
            <w:webHidden/>
          </w:rPr>
          <w:fldChar w:fldCharType="begin"/>
        </w:r>
        <w:r w:rsidR="00237D4A">
          <w:rPr>
            <w:noProof/>
            <w:webHidden/>
          </w:rPr>
          <w:instrText xml:space="preserve"> PAGEREF _Toc405369383 \h </w:instrText>
        </w:r>
        <w:r w:rsidR="00A031F3">
          <w:rPr>
            <w:noProof/>
            <w:webHidden/>
          </w:rPr>
        </w:r>
        <w:r w:rsidR="00A031F3">
          <w:rPr>
            <w:noProof/>
            <w:webHidden/>
          </w:rPr>
          <w:fldChar w:fldCharType="separate"/>
        </w:r>
        <w:r w:rsidR="00237D4A">
          <w:rPr>
            <w:noProof/>
            <w:webHidden/>
          </w:rPr>
          <w:t>12</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4" w:history="1">
        <w:r w:rsidR="00237D4A" w:rsidRPr="00A0230A">
          <w:rPr>
            <w:rStyle w:val="Hyperlink"/>
            <w:noProof/>
          </w:rPr>
          <w:t>POST AWARD</w:t>
        </w:r>
        <w:r w:rsidR="00237D4A">
          <w:rPr>
            <w:noProof/>
            <w:webHidden/>
          </w:rPr>
          <w:tab/>
        </w:r>
        <w:r w:rsidR="00A031F3">
          <w:rPr>
            <w:noProof/>
            <w:webHidden/>
          </w:rPr>
          <w:fldChar w:fldCharType="begin"/>
        </w:r>
        <w:r w:rsidR="00237D4A">
          <w:rPr>
            <w:noProof/>
            <w:webHidden/>
          </w:rPr>
          <w:instrText xml:space="preserve"> PAGEREF _Toc405369384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5" w:history="1">
        <w:r w:rsidR="00237D4A" w:rsidRPr="00A0230A">
          <w:rPr>
            <w:rStyle w:val="Hyperlink"/>
            <w:noProof/>
          </w:rPr>
          <w:t>I.</w:t>
        </w:r>
        <w:r w:rsidR="00237D4A">
          <w:rPr>
            <w:rFonts w:asciiTheme="minorHAnsi" w:eastAsiaTheme="minorEastAsia" w:hAnsiTheme="minorHAnsi" w:cstheme="minorBidi"/>
            <w:noProof/>
          </w:rPr>
          <w:tab/>
        </w:r>
        <w:r w:rsidR="00237D4A" w:rsidRPr="00A0230A">
          <w:rPr>
            <w:rStyle w:val="Hyperlink"/>
            <w:noProof/>
          </w:rPr>
          <w:t>Establishing a Grant Account</w:t>
        </w:r>
        <w:r w:rsidR="00237D4A">
          <w:rPr>
            <w:noProof/>
            <w:webHidden/>
          </w:rPr>
          <w:tab/>
        </w:r>
        <w:r w:rsidR="00A031F3">
          <w:rPr>
            <w:noProof/>
            <w:webHidden/>
          </w:rPr>
          <w:fldChar w:fldCharType="begin"/>
        </w:r>
        <w:r w:rsidR="00237D4A">
          <w:rPr>
            <w:noProof/>
            <w:webHidden/>
          </w:rPr>
          <w:instrText xml:space="preserve"> PAGEREF _Toc405369385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6" w:history="1">
        <w:r w:rsidR="00237D4A" w:rsidRPr="00A0230A">
          <w:rPr>
            <w:rStyle w:val="Hyperlink"/>
            <w:noProof/>
          </w:rPr>
          <w:t>II.</w:t>
        </w:r>
        <w:r w:rsidR="00237D4A">
          <w:rPr>
            <w:rFonts w:asciiTheme="minorHAnsi" w:eastAsiaTheme="minorEastAsia" w:hAnsiTheme="minorHAnsi" w:cstheme="minorBidi"/>
            <w:noProof/>
          </w:rPr>
          <w:tab/>
        </w:r>
        <w:r w:rsidR="00237D4A" w:rsidRPr="00A0230A">
          <w:rPr>
            <w:rStyle w:val="Hyperlink"/>
            <w:noProof/>
          </w:rPr>
          <w:t>Award Management</w:t>
        </w:r>
        <w:r w:rsidR="00237D4A">
          <w:rPr>
            <w:noProof/>
            <w:webHidden/>
          </w:rPr>
          <w:tab/>
        </w:r>
        <w:r w:rsidR="00A031F3">
          <w:rPr>
            <w:noProof/>
            <w:webHidden/>
          </w:rPr>
          <w:fldChar w:fldCharType="begin"/>
        </w:r>
        <w:r w:rsidR="00237D4A">
          <w:rPr>
            <w:noProof/>
            <w:webHidden/>
          </w:rPr>
          <w:instrText xml:space="preserve"> PAGEREF _Toc405369386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7" w:history="1">
        <w:r w:rsidR="00237D4A" w:rsidRPr="00A0230A">
          <w:rPr>
            <w:rStyle w:val="Hyperlink"/>
            <w:noProof/>
          </w:rPr>
          <w:t>III.</w:t>
        </w:r>
        <w:r w:rsidR="00237D4A">
          <w:rPr>
            <w:rFonts w:asciiTheme="minorHAnsi" w:eastAsiaTheme="minorEastAsia" w:hAnsiTheme="minorHAnsi" w:cstheme="minorBidi"/>
            <w:noProof/>
          </w:rPr>
          <w:tab/>
        </w:r>
        <w:r w:rsidR="00237D4A" w:rsidRPr="00A0230A">
          <w:rPr>
            <w:rStyle w:val="Hyperlink"/>
            <w:noProof/>
          </w:rPr>
          <w:t>Award Terms and Conditions</w:t>
        </w:r>
        <w:r w:rsidR="00237D4A">
          <w:rPr>
            <w:noProof/>
            <w:webHidden/>
          </w:rPr>
          <w:tab/>
        </w:r>
        <w:r w:rsidR="00A031F3">
          <w:rPr>
            <w:noProof/>
            <w:webHidden/>
          </w:rPr>
          <w:fldChar w:fldCharType="begin"/>
        </w:r>
        <w:r w:rsidR="00237D4A">
          <w:rPr>
            <w:noProof/>
            <w:webHidden/>
          </w:rPr>
          <w:instrText xml:space="preserve"> PAGEREF _Toc405369387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8" w:history="1">
        <w:r w:rsidR="00237D4A" w:rsidRPr="00A0230A">
          <w:rPr>
            <w:rStyle w:val="Hyperlink"/>
            <w:noProof/>
          </w:rPr>
          <w:t>IV.</w:t>
        </w:r>
        <w:r w:rsidR="00237D4A">
          <w:rPr>
            <w:rFonts w:asciiTheme="minorHAnsi" w:eastAsiaTheme="minorEastAsia" w:hAnsiTheme="minorHAnsi" w:cstheme="minorBidi"/>
            <w:noProof/>
          </w:rPr>
          <w:tab/>
        </w:r>
        <w:r w:rsidR="00237D4A" w:rsidRPr="00A0230A">
          <w:rPr>
            <w:rStyle w:val="Hyperlink"/>
            <w:noProof/>
          </w:rPr>
          <w:t>Allowable Costs</w:t>
        </w:r>
        <w:r w:rsidR="00237D4A">
          <w:rPr>
            <w:noProof/>
            <w:webHidden/>
          </w:rPr>
          <w:tab/>
        </w:r>
        <w:r w:rsidR="00A031F3">
          <w:rPr>
            <w:noProof/>
            <w:webHidden/>
          </w:rPr>
          <w:fldChar w:fldCharType="begin"/>
        </w:r>
        <w:r w:rsidR="00237D4A">
          <w:rPr>
            <w:noProof/>
            <w:webHidden/>
          </w:rPr>
          <w:instrText xml:space="preserve"> PAGEREF _Toc405369388 \h </w:instrText>
        </w:r>
        <w:r w:rsidR="00A031F3">
          <w:rPr>
            <w:noProof/>
            <w:webHidden/>
          </w:rPr>
        </w:r>
        <w:r w:rsidR="00A031F3">
          <w:rPr>
            <w:noProof/>
            <w:webHidden/>
          </w:rPr>
          <w:fldChar w:fldCharType="separate"/>
        </w:r>
        <w:r w:rsidR="00237D4A">
          <w:rPr>
            <w:noProof/>
            <w:webHidden/>
          </w:rPr>
          <w:t>13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89" w:history="1">
        <w:r w:rsidR="00237D4A" w:rsidRPr="00A0230A">
          <w:rPr>
            <w:rStyle w:val="Hyperlink"/>
            <w:noProof/>
          </w:rPr>
          <w:t>V.</w:t>
        </w:r>
        <w:r w:rsidR="00237D4A">
          <w:rPr>
            <w:rFonts w:asciiTheme="minorHAnsi" w:eastAsiaTheme="minorEastAsia" w:hAnsiTheme="minorHAnsi" w:cstheme="minorBidi"/>
            <w:noProof/>
          </w:rPr>
          <w:tab/>
        </w:r>
        <w:r w:rsidR="00237D4A" w:rsidRPr="00A0230A">
          <w:rPr>
            <w:rStyle w:val="Hyperlink"/>
            <w:noProof/>
          </w:rPr>
          <w:t>Unallowable Costs</w:t>
        </w:r>
        <w:r w:rsidR="00237D4A">
          <w:rPr>
            <w:noProof/>
            <w:webHidden/>
          </w:rPr>
          <w:tab/>
        </w:r>
        <w:r w:rsidR="00A031F3">
          <w:rPr>
            <w:noProof/>
            <w:webHidden/>
          </w:rPr>
          <w:fldChar w:fldCharType="begin"/>
        </w:r>
        <w:r w:rsidR="00237D4A">
          <w:rPr>
            <w:noProof/>
            <w:webHidden/>
          </w:rPr>
          <w:instrText xml:space="preserve"> PAGEREF _Toc405369389 \h </w:instrText>
        </w:r>
        <w:r w:rsidR="00A031F3">
          <w:rPr>
            <w:noProof/>
            <w:webHidden/>
          </w:rPr>
        </w:r>
        <w:r w:rsidR="00A031F3">
          <w:rPr>
            <w:noProof/>
            <w:webHidden/>
          </w:rPr>
          <w:fldChar w:fldCharType="separate"/>
        </w:r>
        <w:r w:rsidR="00237D4A">
          <w:rPr>
            <w:noProof/>
            <w:webHidden/>
          </w:rPr>
          <w:t>14</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0" w:history="1">
        <w:r w:rsidR="00237D4A" w:rsidRPr="00A0230A">
          <w:rPr>
            <w:rStyle w:val="Hyperlink"/>
            <w:noProof/>
          </w:rPr>
          <w:t>VI.</w:t>
        </w:r>
        <w:r w:rsidR="00237D4A">
          <w:rPr>
            <w:rFonts w:asciiTheme="minorHAnsi" w:eastAsiaTheme="minorEastAsia" w:hAnsiTheme="minorHAnsi" w:cstheme="minorBidi"/>
            <w:noProof/>
          </w:rPr>
          <w:tab/>
        </w:r>
        <w:r w:rsidR="00237D4A" w:rsidRPr="00A0230A">
          <w:rPr>
            <w:rStyle w:val="Hyperlink"/>
            <w:noProof/>
          </w:rPr>
          <w:t>Financial Management Practices</w:t>
        </w:r>
        <w:r w:rsidR="00237D4A">
          <w:rPr>
            <w:noProof/>
            <w:webHidden/>
          </w:rPr>
          <w:tab/>
        </w:r>
        <w:r w:rsidR="00A031F3">
          <w:rPr>
            <w:noProof/>
            <w:webHidden/>
          </w:rPr>
          <w:fldChar w:fldCharType="begin"/>
        </w:r>
        <w:r w:rsidR="00237D4A">
          <w:rPr>
            <w:noProof/>
            <w:webHidden/>
          </w:rPr>
          <w:instrText xml:space="preserve"> PAGEREF _Toc405369390 \h </w:instrText>
        </w:r>
        <w:r w:rsidR="00A031F3">
          <w:rPr>
            <w:noProof/>
            <w:webHidden/>
          </w:rPr>
        </w:r>
        <w:r w:rsidR="00A031F3">
          <w:rPr>
            <w:noProof/>
            <w:webHidden/>
          </w:rPr>
          <w:fldChar w:fldCharType="separate"/>
        </w:r>
        <w:r w:rsidR="00237D4A">
          <w:rPr>
            <w:noProof/>
            <w:webHidden/>
          </w:rPr>
          <w:t>18</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1" w:history="1">
        <w:r w:rsidR="00237D4A" w:rsidRPr="00A0230A">
          <w:rPr>
            <w:rStyle w:val="Hyperlink"/>
            <w:noProof/>
          </w:rPr>
          <w:t>VII.</w:t>
        </w:r>
        <w:r w:rsidR="00237D4A">
          <w:rPr>
            <w:rFonts w:asciiTheme="minorHAnsi" w:eastAsiaTheme="minorEastAsia" w:hAnsiTheme="minorHAnsi" w:cstheme="minorBidi"/>
            <w:noProof/>
          </w:rPr>
          <w:tab/>
        </w:r>
        <w:r w:rsidR="00237D4A" w:rsidRPr="00A0230A">
          <w:rPr>
            <w:rStyle w:val="Hyperlink"/>
            <w:noProof/>
          </w:rPr>
          <w:t>Prior Approvals</w:t>
        </w:r>
        <w:r w:rsidR="00237D4A">
          <w:rPr>
            <w:noProof/>
            <w:webHidden/>
          </w:rPr>
          <w:tab/>
        </w:r>
        <w:r w:rsidR="00A031F3">
          <w:rPr>
            <w:noProof/>
            <w:webHidden/>
          </w:rPr>
          <w:fldChar w:fldCharType="begin"/>
        </w:r>
        <w:r w:rsidR="00237D4A">
          <w:rPr>
            <w:noProof/>
            <w:webHidden/>
          </w:rPr>
          <w:instrText xml:space="preserve"> PAGEREF _Toc405369391 \h </w:instrText>
        </w:r>
        <w:r w:rsidR="00A031F3">
          <w:rPr>
            <w:noProof/>
            <w:webHidden/>
          </w:rPr>
        </w:r>
        <w:r w:rsidR="00A031F3">
          <w:rPr>
            <w:noProof/>
            <w:webHidden/>
          </w:rPr>
          <w:fldChar w:fldCharType="separate"/>
        </w:r>
        <w:r w:rsidR="00237D4A">
          <w:rPr>
            <w:noProof/>
            <w:webHidden/>
          </w:rPr>
          <w:t>18</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2" w:history="1">
        <w:r w:rsidR="00237D4A" w:rsidRPr="00A0230A">
          <w:rPr>
            <w:rStyle w:val="Hyperlink"/>
            <w:noProof/>
          </w:rPr>
          <w:t>VIII.</w:t>
        </w:r>
        <w:r w:rsidR="00237D4A">
          <w:rPr>
            <w:rFonts w:asciiTheme="minorHAnsi" w:eastAsiaTheme="minorEastAsia" w:hAnsiTheme="minorHAnsi" w:cstheme="minorBidi"/>
            <w:noProof/>
          </w:rPr>
          <w:tab/>
        </w:r>
        <w:r w:rsidR="00237D4A" w:rsidRPr="00A0230A">
          <w:rPr>
            <w:rStyle w:val="Hyperlink"/>
            <w:noProof/>
          </w:rPr>
          <w:t>Budget Reallocation</w:t>
        </w:r>
        <w:r w:rsidR="00237D4A">
          <w:rPr>
            <w:noProof/>
            <w:webHidden/>
          </w:rPr>
          <w:tab/>
        </w:r>
        <w:r w:rsidR="00A031F3">
          <w:rPr>
            <w:noProof/>
            <w:webHidden/>
          </w:rPr>
          <w:fldChar w:fldCharType="begin"/>
        </w:r>
        <w:r w:rsidR="00237D4A">
          <w:rPr>
            <w:noProof/>
            <w:webHidden/>
          </w:rPr>
          <w:instrText xml:space="preserve"> PAGEREF _Toc405369392 \h </w:instrText>
        </w:r>
        <w:r w:rsidR="00A031F3">
          <w:rPr>
            <w:noProof/>
            <w:webHidden/>
          </w:rPr>
        </w:r>
        <w:r w:rsidR="00A031F3">
          <w:rPr>
            <w:noProof/>
            <w:webHidden/>
          </w:rPr>
          <w:fldChar w:fldCharType="separate"/>
        </w:r>
        <w:r w:rsidR="00237D4A">
          <w:rPr>
            <w:noProof/>
            <w:webHidden/>
          </w:rPr>
          <w:t>18</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3" w:history="1">
        <w:r w:rsidR="00237D4A" w:rsidRPr="00A0230A">
          <w:rPr>
            <w:rStyle w:val="Hyperlink"/>
            <w:noProof/>
          </w:rPr>
          <w:t>IX.</w:t>
        </w:r>
        <w:r w:rsidR="00237D4A">
          <w:rPr>
            <w:rFonts w:asciiTheme="minorHAnsi" w:eastAsiaTheme="minorEastAsia" w:hAnsiTheme="minorHAnsi" w:cstheme="minorBidi"/>
            <w:noProof/>
          </w:rPr>
          <w:tab/>
        </w:r>
        <w:r w:rsidR="00237D4A" w:rsidRPr="00A0230A">
          <w:rPr>
            <w:rStyle w:val="Hyperlink"/>
            <w:noProof/>
          </w:rPr>
          <w:t>Cost Transfers</w:t>
        </w:r>
        <w:r w:rsidR="00237D4A">
          <w:rPr>
            <w:noProof/>
            <w:webHidden/>
          </w:rPr>
          <w:tab/>
        </w:r>
        <w:r w:rsidR="00A031F3">
          <w:rPr>
            <w:noProof/>
            <w:webHidden/>
          </w:rPr>
          <w:fldChar w:fldCharType="begin"/>
        </w:r>
        <w:r w:rsidR="00237D4A">
          <w:rPr>
            <w:noProof/>
            <w:webHidden/>
          </w:rPr>
          <w:instrText xml:space="preserve"> PAGEREF _Toc405369393 \h </w:instrText>
        </w:r>
        <w:r w:rsidR="00A031F3">
          <w:rPr>
            <w:noProof/>
            <w:webHidden/>
          </w:rPr>
        </w:r>
        <w:r w:rsidR="00A031F3">
          <w:rPr>
            <w:noProof/>
            <w:webHidden/>
          </w:rPr>
          <w:fldChar w:fldCharType="separate"/>
        </w:r>
        <w:r w:rsidR="00237D4A">
          <w:rPr>
            <w:noProof/>
            <w:webHidden/>
          </w:rPr>
          <w:t>19</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4" w:history="1">
        <w:r w:rsidR="00237D4A" w:rsidRPr="00A0230A">
          <w:rPr>
            <w:rStyle w:val="Hyperlink"/>
            <w:noProof/>
          </w:rPr>
          <w:t>X.</w:t>
        </w:r>
        <w:r w:rsidR="00237D4A">
          <w:rPr>
            <w:rFonts w:asciiTheme="minorHAnsi" w:eastAsiaTheme="minorEastAsia" w:hAnsiTheme="minorHAnsi" w:cstheme="minorBidi"/>
            <w:noProof/>
          </w:rPr>
          <w:tab/>
        </w:r>
        <w:r w:rsidR="00237D4A" w:rsidRPr="00A0230A">
          <w:rPr>
            <w:rStyle w:val="Hyperlink"/>
            <w:noProof/>
          </w:rPr>
          <w:t>Application of F&amp;A Costs</w:t>
        </w:r>
        <w:r w:rsidR="00237D4A">
          <w:rPr>
            <w:noProof/>
            <w:webHidden/>
          </w:rPr>
          <w:tab/>
        </w:r>
        <w:r w:rsidR="00A031F3">
          <w:rPr>
            <w:noProof/>
            <w:webHidden/>
          </w:rPr>
          <w:fldChar w:fldCharType="begin"/>
        </w:r>
        <w:r w:rsidR="00237D4A">
          <w:rPr>
            <w:noProof/>
            <w:webHidden/>
          </w:rPr>
          <w:instrText xml:space="preserve"> PAGEREF _Toc405369394 \h </w:instrText>
        </w:r>
        <w:r w:rsidR="00A031F3">
          <w:rPr>
            <w:noProof/>
            <w:webHidden/>
          </w:rPr>
        </w:r>
        <w:r w:rsidR="00A031F3">
          <w:rPr>
            <w:noProof/>
            <w:webHidden/>
          </w:rPr>
          <w:fldChar w:fldCharType="separate"/>
        </w:r>
        <w:r w:rsidR="00237D4A">
          <w:rPr>
            <w:noProof/>
            <w:webHidden/>
          </w:rPr>
          <w:t>19</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5" w:history="1">
        <w:r w:rsidR="00237D4A" w:rsidRPr="00A0230A">
          <w:rPr>
            <w:rStyle w:val="Hyperlink"/>
            <w:noProof/>
          </w:rPr>
          <w:t>XI.</w:t>
        </w:r>
        <w:r w:rsidR="00237D4A">
          <w:rPr>
            <w:rFonts w:asciiTheme="minorHAnsi" w:eastAsiaTheme="minorEastAsia" w:hAnsiTheme="minorHAnsi" w:cstheme="minorBidi"/>
            <w:noProof/>
          </w:rPr>
          <w:tab/>
        </w:r>
        <w:r w:rsidR="00237D4A" w:rsidRPr="00A0230A">
          <w:rPr>
            <w:rStyle w:val="Hyperlink"/>
            <w:noProof/>
          </w:rPr>
          <w:t>Cost Sharing</w:t>
        </w:r>
        <w:r w:rsidR="00237D4A">
          <w:rPr>
            <w:noProof/>
            <w:webHidden/>
          </w:rPr>
          <w:tab/>
        </w:r>
        <w:r w:rsidR="00A031F3">
          <w:rPr>
            <w:noProof/>
            <w:webHidden/>
          </w:rPr>
          <w:fldChar w:fldCharType="begin"/>
        </w:r>
        <w:r w:rsidR="00237D4A">
          <w:rPr>
            <w:noProof/>
            <w:webHidden/>
          </w:rPr>
          <w:instrText xml:space="preserve"> PAGEREF _Toc405369395 \h </w:instrText>
        </w:r>
        <w:r w:rsidR="00A031F3">
          <w:rPr>
            <w:noProof/>
            <w:webHidden/>
          </w:rPr>
        </w:r>
        <w:r w:rsidR="00A031F3">
          <w:rPr>
            <w:noProof/>
            <w:webHidden/>
          </w:rPr>
          <w:fldChar w:fldCharType="separate"/>
        </w:r>
        <w:r w:rsidR="00237D4A">
          <w:rPr>
            <w:noProof/>
            <w:webHidden/>
          </w:rPr>
          <w:t>20</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6" w:history="1">
        <w:r w:rsidR="00237D4A" w:rsidRPr="00A0230A">
          <w:rPr>
            <w:rStyle w:val="Hyperlink"/>
            <w:noProof/>
          </w:rPr>
          <w:t>XII.</w:t>
        </w:r>
        <w:r w:rsidR="00237D4A">
          <w:rPr>
            <w:rFonts w:asciiTheme="minorHAnsi" w:eastAsiaTheme="minorEastAsia" w:hAnsiTheme="minorHAnsi" w:cstheme="minorBidi"/>
            <w:noProof/>
          </w:rPr>
          <w:tab/>
        </w:r>
        <w:r w:rsidR="00237D4A" w:rsidRPr="00A0230A">
          <w:rPr>
            <w:rStyle w:val="Hyperlink"/>
            <w:noProof/>
          </w:rPr>
          <w:t>Effort Reporting</w:t>
        </w:r>
        <w:r w:rsidR="00237D4A">
          <w:rPr>
            <w:noProof/>
            <w:webHidden/>
          </w:rPr>
          <w:tab/>
        </w:r>
        <w:r w:rsidR="00A031F3">
          <w:rPr>
            <w:noProof/>
            <w:webHidden/>
          </w:rPr>
          <w:fldChar w:fldCharType="begin"/>
        </w:r>
        <w:r w:rsidR="00237D4A">
          <w:rPr>
            <w:noProof/>
            <w:webHidden/>
          </w:rPr>
          <w:instrText xml:space="preserve"> PAGEREF _Toc405369396 \h </w:instrText>
        </w:r>
        <w:r w:rsidR="00A031F3">
          <w:rPr>
            <w:noProof/>
            <w:webHidden/>
          </w:rPr>
        </w:r>
        <w:r w:rsidR="00A031F3">
          <w:rPr>
            <w:noProof/>
            <w:webHidden/>
          </w:rPr>
          <w:fldChar w:fldCharType="separate"/>
        </w:r>
        <w:r w:rsidR="00237D4A">
          <w:rPr>
            <w:noProof/>
            <w:webHidden/>
          </w:rPr>
          <w:t>20</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7" w:history="1">
        <w:r w:rsidR="00237D4A" w:rsidRPr="00A0230A">
          <w:rPr>
            <w:rStyle w:val="Hyperlink"/>
            <w:noProof/>
          </w:rPr>
          <w:t>XIII.</w:t>
        </w:r>
        <w:r w:rsidR="00237D4A">
          <w:rPr>
            <w:rFonts w:asciiTheme="minorHAnsi" w:eastAsiaTheme="minorEastAsia" w:hAnsiTheme="minorHAnsi" w:cstheme="minorBidi"/>
            <w:noProof/>
          </w:rPr>
          <w:tab/>
        </w:r>
        <w:r w:rsidR="00237D4A" w:rsidRPr="00A0230A">
          <w:rPr>
            <w:rStyle w:val="Hyperlink"/>
            <w:noProof/>
          </w:rPr>
          <w:t>Program Income</w:t>
        </w:r>
        <w:r w:rsidR="00237D4A">
          <w:rPr>
            <w:noProof/>
            <w:webHidden/>
          </w:rPr>
          <w:tab/>
        </w:r>
        <w:r w:rsidR="00A031F3">
          <w:rPr>
            <w:noProof/>
            <w:webHidden/>
          </w:rPr>
          <w:fldChar w:fldCharType="begin"/>
        </w:r>
        <w:r w:rsidR="00237D4A">
          <w:rPr>
            <w:noProof/>
            <w:webHidden/>
          </w:rPr>
          <w:instrText xml:space="preserve"> PAGEREF _Toc405369397 \h </w:instrText>
        </w:r>
        <w:r w:rsidR="00A031F3">
          <w:rPr>
            <w:noProof/>
            <w:webHidden/>
          </w:rPr>
        </w:r>
        <w:r w:rsidR="00A031F3">
          <w:rPr>
            <w:noProof/>
            <w:webHidden/>
          </w:rPr>
          <w:fldChar w:fldCharType="separate"/>
        </w:r>
        <w:r w:rsidR="00237D4A">
          <w:rPr>
            <w:noProof/>
            <w:webHidden/>
          </w:rPr>
          <w:t>21</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8" w:history="1">
        <w:r w:rsidR="00237D4A" w:rsidRPr="00A0230A">
          <w:rPr>
            <w:rStyle w:val="Hyperlink"/>
            <w:noProof/>
          </w:rPr>
          <w:t>XIV.</w:t>
        </w:r>
        <w:r w:rsidR="00237D4A">
          <w:rPr>
            <w:rFonts w:asciiTheme="minorHAnsi" w:eastAsiaTheme="minorEastAsia" w:hAnsiTheme="minorHAnsi" w:cstheme="minorBidi"/>
            <w:noProof/>
          </w:rPr>
          <w:tab/>
        </w:r>
        <w:r w:rsidR="00237D4A" w:rsidRPr="00A0230A">
          <w:rPr>
            <w:rStyle w:val="Hyperlink"/>
            <w:noProof/>
          </w:rPr>
          <w:t>Equipment</w:t>
        </w:r>
        <w:r w:rsidR="00237D4A">
          <w:rPr>
            <w:noProof/>
            <w:webHidden/>
          </w:rPr>
          <w:tab/>
        </w:r>
        <w:r w:rsidR="00A031F3">
          <w:rPr>
            <w:noProof/>
            <w:webHidden/>
          </w:rPr>
          <w:fldChar w:fldCharType="begin"/>
        </w:r>
        <w:r w:rsidR="00237D4A">
          <w:rPr>
            <w:noProof/>
            <w:webHidden/>
          </w:rPr>
          <w:instrText xml:space="preserve"> PAGEREF _Toc405369398 \h </w:instrText>
        </w:r>
        <w:r w:rsidR="00A031F3">
          <w:rPr>
            <w:noProof/>
            <w:webHidden/>
          </w:rPr>
        </w:r>
        <w:r w:rsidR="00A031F3">
          <w:rPr>
            <w:noProof/>
            <w:webHidden/>
          </w:rPr>
          <w:fldChar w:fldCharType="separate"/>
        </w:r>
        <w:r w:rsidR="00237D4A">
          <w:rPr>
            <w:noProof/>
            <w:webHidden/>
          </w:rPr>
          <w:t>21</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399" w:history="1">
        <w:r w:rsidR="00237D4A" w:rsidRPr="00A0230A">
          <w:rPr>
            <w:rStyle w:val="Hyperlink"/>
            <w:noProof/>
          </w:rPr>
          <w:t>XV.</w:t>
        </w:r>
        <w:r w:rsidR="00237D4A">
          <w:rPr>
            <w:rFonts w:asciiTheme="minorHAnsi" w:eastAsiaTheme="minorEastAsia" w:hAnsiTheme="minorHAnsi" w:cstheme="minorBidi"/>
            <w:noProof/>
          </w:rPr>
          <w:tab/>
        </w:r>
        <w:r w:rsidR="00237D4A" w:rsidRPr="00A0230A">
          <w:rPr>
            <w:rStyle w:val="Hyperlink"/>
            <w:noProof/>
          </w:rPr>
          <w:t>Payment and Cash Management</w:t>
        </w:r>
        <w:r w:rsidR="00237D4A">
          <w:rPr>
            <w:noProof/>
            <w:webHidden/>
          </w:rPr>
          <w:tab/>
        </w:r>
        <w:r w:rsidR="00A031F3">
          <w:rPr>
            <w:noProof/>
            <w:webHidden/>
          </w:rPr>
          <w:fldChar w:fldCharType="begin"/>
        </w:r>
        <w:r w:rsidR="00237D4A">
          <w:rPr>
            <w:noProof/>
            <w:webHidden/>
          </w:rPr>
          <w:instrText xml:space="preserve"> PAGEREF _Toc405369399 \h </w:instrText>
        </w:r>
        <w:r w:rsidR="00A031F3">
          <w:rPr>
            <w:noProof/>
            <w:webHidden/>
          </w:rPr>
        </w:r>
        <w:r w:rsidR="00A031F3">
          <w:rPr>
            <w:noProof/>
            <w:webHidden/>
          </w:rPr>
          <w:fldChar w:fldCharType="separate"/>
        </w:r>
        <w:r w:rsidR="00237D4A">
          <w:rPr>
            <w:noProof/>
            <w:webHidden/>
          </w:rPr>
          <w:t>22</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0" w:history="1">
        <w:r w:rsidR="00237D4A" w:rsidRPr="00A0230A">
          <w:rPr>
            <w:rStyle w:val="Hyperlink"/>
            <w:noProof/>
          </w:rPr>
          <w:t>XVI.</w:t>
        </w:r>
        <w:r w:rsidR="00237D4A">
          <w:rPr>
            <w:rFonts w:asciiTheme="minorHAnsi" w:eastAsiaTheme="minorEastAsia" w:hAnsiTheme="minorHAnsi" w:cstheme="minorBidi"/>
            <w:noProof/>
          </w:rPr>
          <w:tab/>
        </w:r>
        <w:r w:rsidR="00237D4A" w:rsidRPr="00A0230A">
          <w:rPr>
            <w:rStyle w:val="Hyperlink"/>
            <w:noProof/>
          </w:rPr>
          <w:t>Monthly Reconciliations (Expenditure Statements and Budget Monitoring)</w:t>
        </w:r>
        <w:r w:rsidR="00237D4A">
          <w:rPr>
            <w:noProof/>
            <w:webHidden/>
          </w:rPr>
          <w:tab/>
        </w:r>
        <w:r w:rsidR="00A031F3">
          <w:rPr>
            <w:noProof/>
            <w:webHidden/>
          </w:rPr>
          <w:fldChar w:fldCharType="begin"/>
        </w:r>
        <w:r w:rsidR="00237D4A">
          <w:rPr>
            <w:noProof/>
            <w:webHidden/>
          </w:rPr>
          <w:instrText xml:space="preserve"> PAGEREF _Toc405369400 \h </w:instrText>
        </w:r>
        <w:r w:rsidR="00A031F3">
          <w:rPr>
            <w:noProof/>
            <w:webHidden/>
          </w:rPr>
        </w:r>
        <w:r w:rsidR="00A031F3">
          <w:rPr>
            <w:noProof/>
            <w:webHidden/>
          </w:rPr>
          <w:fldChar w:fldCharType="separate"/>
        </w:r>
        <w:r w:rsidR="00237D4A">
          <w:rPr>
            <w:noProof/>
            <w:webHidden/>
          </w:rPr>
          <w:t>23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1" w:history="1">
        <w:r w:rsidR="00237D4A" w:rsidRPr="00A0230A">
          <w:rPr>
            <w:rStyle w:val="Hyperlink"/>
            <w:noProof/>
          </w:rPr>
          <w:t>XVII.</w:t>
        </w:r>
        <w:r w:rsidR="00237D4A">
          <w:rPr>
            <w:rFonts w:asciiTheme="minorHAnsi" w:eastAsiaTheme="minorEastAsia" w:hAnsiTheme="minorHAnsi" w:cstheme="minorBidi"/>
            <w:noProof/>
          </w:rPr>
          <w:tab/>
        </w:r>
        <w:r w:rsidR="00237D4A" w:rsidRPr="00A0230A">
          <w:rPr>
            <w:rStyle w:val="Hyperlink"/>
            <w:noProof/>
          </w:rPr>
          <w:t>Contract (and Subaward) Invoicing</w:t>
        </w:r>
        <w:r w:rsidR="00237D4A">
          <w:rPr>
            <w:noProof/>
            <w:webHidden/>
          </w:rPr>
          <w:tab/>
        </w:r>
        <w:r w:rsidR="00A031F3">
          <w:rPr>
            <w:noProof/>
            <w:webHidden/>
          </w:rPr>
          <w:fldChar w:fldCharType="begin"/>
        </w:r>
        <w:r w:rsidR="00237D4A">
          <w:rPr>
            <w:noProof/>
            <w:webHidden/>
          </w:rPr>
          <w:instrText xml:space="preserve"> PAGEREF _Toc405369401 \h </w:instrText>
        </w:r>
        <w:r w:rsidR="00A031F3">
          <w:rPr>
            <w:noProof/>
            <w:webHidden/>
          </w:rPr>
        </w:r>
        <w:r w:rsidR="00A031F3">
          <w:rPr>
            <w:noProof/>
            <w:webHidden/>
          </w:rPr>
          <w:fldChar w:fldCharType="separate"/>
        </w:r>
        <w:r w:rsidR="00237D4A">
          <w:rPr>
            <w:noProof/>
            <w:webHidden/>
          </w:rPr>
          <w:t>23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2" w:history="1">
        <w:r w:rsidR="00237D4A" w:rsidRPr="00A0230A">
          <w:rPr>
            <w:rStyle w:val="Hyperlink"/>
            <w:noProof/>
          </w:rPr>
          <w:t>XVIII.</w:t>
        </w:r>
        <w:r w:rsidR="00237D4A">
          <w:rPr>
            <w:rFonts w:asciiTheme="minorHAnsi" w:eastAsiaTheme="minorEastAsia" w:hAnsiTheme="minorHAnsi" w:cstheme="minorBidi"/>
            <w:noProof/>
          </w:rPr>
          <w:tab/>
        </w:r>
        <w:r w:rsidR="00237D4A" w:rsidRPr="00A0230A">
          <w:rPr>
            <w:rStyle w:val="Hyperlink"/>
            <w:noProof/>
          </w:rPr>
          <w:t>Subaward Monitoring</w:t>
        </w:r>
        <w:r w:rsidR="00237D4A">
          <w:rPr>
            <w:noProof/>
            <w:webHidden/>
          </w:rPr>
          <w:tab/>
        </w:r>
        <w:r w:rsidR="00A031F3">
          <w:rPr>
            <w:noProof/>
            <w:webHidden/>
          </w:rPr>
          <w:fldChar w:fldCharType="begin"/>
        </w:r>
        <w:r w:rsidR="00237D4A">
          <w:rPr>
            <w:noProof/>
            <w:webHidden/>
          </w:rPr>
          <w:instrText xml:space="preserve"> PAGEREF _Toc405369402 \h </w:instrText>
        </w:r>
        <w:r w:rsidR="00A031F3">
          <w:rPr>
            <w:noProof/>
            <w:webHidden/>
          </w:rPr>
        </w:r>
        <w:r w:rsidR="00A031F3">
          <w:rPr>
            <w:noProof/>
            <w:webHidden/>
          </w:rPr>
          <w:fldChar w:fldCharType="separate"/>
        </w:r>
        <w:r w:rsidR="00237D4A">
          <w:rPr>
            <w:noProof/>
            <w:webHidden/>
          </w:rPr>
          <w:t>23</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3" w:history="1">
        <w:r w:rsidR="00237D4A" w:rsidRPr="00A0230A">
          <w:rPr>
            <w:rStyle w:val="Hyperlink"/>
            <w:noProof/>
          </w:rPr>
          <w:t>XIX.</w:t>
        </w:r>
        <w:r w:rsidR="00237D4A">
          <w:rPr>
            <w:rFonts w:asciiTheme="minorHAnsi" w:eastAsiaTheme="minorEastAsia" w:hAnsiTheme="minorHAnsi" w:cstheme="minorBidi"/>
            <w:noProof/>
          </w:rPr>
          <w:tab/>
        </w:r>
        <w:r w:rsidR="00237D4A" w:rsidRPr="00A0230A">
          <w:rPr>
            <w:rStyle w:val="Hyperlink"/>
            <w:noProof/>
          </w:rPr>
          <w:t>Financial Reporting</w:t>
        </w:r>
        <w:r w:rsidR="00237D4A">
          <w:rPr>
            <w:noProof/>
            <w:webHidden/>
          </w:rPr>
          <w:tab/>
        </w:r>
        <w:r w:rsidR="00A031F3">
          <w:rPr>
            <w:noProof/>
            <w:webHidden/>
          </w:rPr>
          <w:fldChar w:fldCharType="begin"/>
        </w:r>
        <w:r w:rsidR="00237D4A">
          <w:rPr>
            <w:noProof/>
            <w:webHidden/>
          </w:rPr>
          <w:instrText xml:space="preserve"> PAGEREF _Toc405369403 \h </w:instrText>
        </w:r>
        <w:r w:rsidR="00A031F3">
          <w:rPr>
            <w:noProof/>
            <w:webHidden/>
          </w:rPr>
        </w:r>
        <w:r w:rsidR="00A031F3">
          <w:rPr>
            <w:noProof/>
            <w:webHidden/>
          </w:rPr>
          <w:fldChar w:fldCharType="separate"/>
        </w:r>
        <w:r w:rsidR="00237D4A">
          <w:rPr>
            <w:noProof/>
            <w:webHidden/>
          </w:rPr>
          <w:t>24</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4" w:history="1">
        <w:r w:rsidR="00237D4A" w:rsidRPr="00A0230A">
          <w:rPr>
            <w:rStyle w:val="Hyperlink"/>
            <w:noProof/>
          </w:rPr>
          <w:t>XX.</w:t>
        </w:r>
        <w:r w:rsidR="00237D4A">
          <w:rPr>
            <w:rFonts w:asciiTheme="minorHAnsi" w:eastAsiaTheme="minorEastAsia" w:hAnsiTheme="minorHAnsi" w:cstheme="minorBidi"/>
            <w:noProof/>
          </w:rPr>
          <w:tab/>
        </w:r>
        <w:r w:rsidR="00237D4A" w:rsidRPr="00A0230A">
          <w:rPr>
            <w:rStyle w:val="Hyperlink"/>
            <w:noProof/>
          </w:rPr>
          <w:t>Technical Reporting</w:t>
        </w:r>
        <w:r w:rsidR="00237D4A">
          <w:rPr>
            <w:noProof/>
            <w:webHidden/>
          </w:rPr>
          <w:tab/>
        </w:r>
        <w:r w:rsidR="00A031F3">
          <w:rPr>
            <w:noProof/>
            <w:webHidden/>
          </w:rPr>
          <w:fldChar w:fldCharType="begin"/>
        </w:r>
        <w:r w:rsidR="00237D4A">
          <w:rPr>
            <w:noProof/>
            <w:webHidden/>
          </w:rPr>
          <w:instrText xml:space="preserve"> PAGEREF _Toc405369404 \h </w:instrText>
        </w:r>
        <w:r w:rsidR="00A031F3">
          <w:rPr>
            <w:noProof/>
            <w:webHidden/>
          </w:rPr>
        </w:r>
        <w:r w:rsidR="00A031F3">
          <w:rPr>
            <w:noProof/>
            <w:webHidden/>
          </w:rPr>
          <w:fldChar w:fldCharType="separate"/>
        </w:r>
        <w:r w:rsidR="00237D4A">
          <w:rPr>
            <w:noProof/>
            <w:webHidden/>
          </w:rPr>
          <w:t>24</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5" w:history="1">
        <w:r w:rsidR="00237D4A" w:rsidRPr="00A0230A">
          <w:rPr>
            <w:rStyle w:val="Hyperlink"/>
            <w:noProof/>
          </w:rPr>
          <w:t>XXI.</w:t>
        </w:r>
        <w:r w:rsidR="00237D4A">
          <w:rPr>
            <w:rFonts w:asciiTheme="minorHAnsi" w:eastAsiaTheme="minorEastAsia" w:hAnsiTheme="minorHAnsi" w:cstheme="minorBidi"/>
            <w:noProof/>
          </w:rPr>
          <w:tab/>
        </w:r>
        <w:r w:rsidR="00237D4A" w:rsidRPr="00A0230A">
          <w:rPr>
            <w:rStyle w:val="Hyperlink"/>
            <w:noProof/>
          </w:rPr>
          <w:t>Close-Out</w:t>
        </w:r>
        <w:r w:rsidR="00237D4A">
          <w:rPr>
            <w:noProof/>
            <w:webHidden/>
          </w:rPr>
          <w:tab/>
        </w:r>
        <w:r w:rsidR="00A031F3">
          <w:rPr>
            <w:noProof/>
            <w:webHidden/>
          </w:rPr>
          <w:fldChar w:fldCharType="begin"/>
        </w:r>
        <w:r w:rsidR="00237D4A">
          <w:rPr>
            <w:noProof/>
            <w:webHidden/>
          </w:rPr>
          <w:instrText xml:space="preserve"> PAGEREF _Toc405369405 \h </w:instrText>
        </w:r>
        <w:r w:rsidR="00A031F3">
          <w:rPr>
            <w:noProof/>
            <w:webHidden/>
          </w:rPr>
        </w:r>
        <w:r w:rsidR="00A031F3">
          <w:rPr>
            <w:noProof/>
            <w:webHidden/>
          </w:rPr>
          <w:fldChar w:fldCharType="separate"/>
        </w:r>
        <w:r w:rsidR="00237D4A">
          <w:rPr>
            <w:noProof/>
            <w:webHidden/>
          </w:rPr>
          <w:t>25</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6" w:history="1">
        <w:r w:rsidR="00237D4A" w:rsidRPr="00A0230A">
          <w:rPr>
            <w:rStyle w:val="Hyperlink"/>
            <w:noProof/>
          </w:rPr>
          <w:t>XXII.</w:t>
        </w:r>
        <w:r w:rsidR="00237D4A">
          <w:rPr>
            <w:rFonts w:asciiTheme="minorHAnsi" w:eastAsiaTheme="minorEastAsia" w:hAnsiTheme="minorHAnsi" w:cstheme="minorBidi"/>
            <w:noProof/>
          </w:rPr>
          <w:tab/>
        </w:r>
        <w:r w:rsidR="00237D4A" w:rsidRPr="00A0230A">
          <w:rPr>
            <w:rStyle w:val="Hyperlink"/>
            <w:noProof/>
          </w:rPr>
          <w:t>Record Retention</w:t>
        </w:r>
        <w:r w:rsidR="00237D4A">
          <w:rPr>
            <w:noProof/>
            <w:webHidden/>
          </w:rPr>
          <w:tab/>
        </w:r>
        <w:r w:rsidR="00A031F3">
          <w:rPr>
            <w:noProof/>
            <w:webHidden/>
          </w:rPr>
          <w:fldChar w:fldCharType="begin"/>
        </w:r>
        <w:r w:rsidR="00237D4A">
          <w:rPr>
            <w:noProof/>
            <w:webHidden/>
          </w:rPr>
          <w:instrText xml:space="preserve"> PAGEREF _Toc405369406 \h </w:instrText>
        </w:r>
        <w:r w:rsidR="00A031F3">
          <w:rPr>
            <w:noProof/>
            <w:webHidden/>
          </w:rPr>
        </w:r>
        <w:r w:rsidR="00A031F3">
          <w:rPr>
            <w:noProof/>
            <w:webHidden/>
          </w:rPr>
          <w:fldChar w:fldCharType="separate"/>
        </w:r>
        <w:r w:rsidR="00237D4A">
          <w:rPr>
            <w:noProof/>
            <w:webHidden/>
          </w:rPr>
          <w:t>25</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7" w:history="1">
        <w:r w:rsidR="00237D4A" w:rsidRPr="00A0230A">
          <w:rPr>
            <w:rStyle w:val="Hyperlink"/>
            <w:noProof/>
          </w:rPr>
          <w:t>XXIII.</w:t>
        </w:r>
        <w:r w:rsidR="00237D4A">
          <w:rPr>
            <w:rFonts w:asciiTheme="minorHAnsi" w:eastAsiaTheme="minorEastAsia" w:hAnsiTheme="minorHAnsi" w:cstheme="minorBidi"/>
            <w:noProof/>
          </w:rPr>
          <w:tab/>
        </w:r>
        <w:r w:rsidR="00237D4A" w:rsidRPr="00A0230A">
          <w:rPr>
            <w:rStyle w:val="Hyperlink"/>
            <w:noProof/>
          </w:rPr>
          <w:t>Conflicts of Interest</w:t>
        </w:r>
        <w:r w:rsidR="00237D4A">
          <w:rPr>
            <w:noProof/>
            <w:webHidden/>
          </w:rPr>
          <w:tab/>
        </w:r>
        <w:r w:rsidR="00A031F3">
          <w:rPr>
            <w:noProof/>
            <w:webHidden/>
          </w:rPr>
          <w:fldChar w:fldCharType="begin"/>
        </w:r>
        <w:r w:rsidR="00237D4A">
          <w:rPr>
            <w:noProof/>
            <w:webHidden/>
          </w:rPr>
          <w:instrText xml:space="preserve"> PAGEREF _Toc405369407 \h </w:instrText>
        </w:r>
        <w:r w:rsidR="00A031F3">
          <w:rPr>
            <w:noProof/>
            <w:webHidden/>
          </w:rPr>
        </w:r>
        <w:r w:rsidR="00A031F3">
          <w:rPr>
            <w:noProof/>
            <w:webHidden/>
          </w:rPr>
          <w:fldChar w:fldCharType="separate"/>
        </w:r>
        <w:r w:rsidR="00237D4A">
          <w:rPr>
            <w:noProof/>
            <w:webHidden/>
          </w:rPr>
          <w:t>25</w:t>
        </w:r>
        <w:r w:rsidR="00A031F3">
          <w:rPr>
            <w:noProof/>
            <w:webHidden/>
          </w:rPr>
          <w:fldChar w:fldCharType="end"/>
        </w:r>
      </w:hyperlink>
    </w:p>
    <w:p w:rsidR="00237D4A" w:rsidRDefault="00392E1F">
      <w:pPr>
        <w:pStyle w:val="TOC1"/>
        <w:rPr>
          <w:rFonts w:asciiTheme="minorHAnsi" w:eastAsiaTheme="minorEastAsia" w:hAnsiTheme="minorHAnsi" w:cstheme="minorBidi"/>
          <w:noProof/>
        </w:rPr>
      </w:pPr>
      <w:hyperlink w:anchor="_Toc405369408" w:history="1">
        <w:r w:rsidR="00237D4A" w:rsidRPr="00A0230A">
          <w:rPr>
            <w:rStyle w:val="Hyperlink"/>
            <w:noProof/>
          </w:rPr>
          <w:t>XXIV.</w:t>
        </w:r>
        <w:r w:rsidR="00237D4A">
          <w:rPr>
            <w:rFonts w:asciiTheme="minorHAnsi" w:eastAsiaTheme="minorEastAsia" w:hAnsiTheme="minorHAnsi" w:cstheme="minorBidi"/>
            <w:noProof/>
          </w:rPr>
          <w:tab/>
        </w:r>
        <w:r w:rsidR="00237D4A" w:rsidRPr="00A0230A">
          <w:rPr>
            <w:rStyle w:val="Hyperlink"/>
            <w:noProof/>
          </w:rPr>
          <w:t>Responsible Conduct of Research</w:t>
        </w:r>
        <w:r w:rsidR="00237D4A">
          <w:rPr>
            <w:noProof/>
            <w:webHidden/>
          </w:rPr>
          <w:tab/>
        </w:r>
        <w:r w:rsidR="00A031F3">
          <w:rPr>
            <w:noProof/>
            <w:webHidden/>
          </w:rPr>
          <w:fldChar w:fldCharType="begin"/>
        </w:r>
        <w:r w:rsidR="00237D4A">
          <w:rPr>
            <w:noProof/>
            <w:webHidden/>
          </w:rPr>
          <w:instrText xml:space="preserve"> PAGEREF _Toc405369408 \h </w:instrText>
        </w:r>
        <w:r w:rsidR="00A031F3">
          <w:rPr>
            <w:noProof/>
            <w:webHidden/>
          </w:rPr>
        </w:r>
        <w:r w:rsidR="00A031F3">
          <w:rPr>
            <w:noProof/>
            <w:webHidden/>
          </w:rPr>
          <w:fldChar w:fldCharType="separate"/>
        </w:r>
        <w:r w:rsidR="00237D4A">
          <w:rPr>
            <w:noProof/>
            <w:webHidden/>
          </w:rPr>
          <w:t>26</w:t>
        </w:r>
        <w:r w:rsidR="00A031F3">
          <w:rPr>
            <w:noProof/>
            <w:webHidden/>
          </w:rPr>
          <w:fldChar w:fldCharType="end"/>
        </w:r>
      </w:hyperlink>
    </w:p>
    <w:p w:rsidR="003066E5" w:rsidRPr="008E3AF9" w:rsidRDefault="00A031F3" w:rsidP="00D76B3B">
      <w:pPr>
        <w:pStyle w:val="Heading1"/>
        <w:rPr>
          <w:szCs w:val="22"/>
        </w:rPr>
        <w:sectPr w:rsidR="003066E5" w:rsidRPr="008E3AF9" w:rsidSect="00962B88">
          <w:pgSz w:w="12240" w:h="15840"/>
          <w:pgMar w:top="1440" w:right="1440" w:bottom="1080" w:left="1440" w:header="720" w:footer="720" w:gutter="0"/>
          <w:cols w:space="720"/>
          <w:docGrid w:linePitch="360"/>
        </w:sectPr>
      </w:pPr>
      <w:r w:rsidRPr="008E3AF9">
        <w:rPr>
          <w:b w:val="0"/>
          <w:u w:val="single"/>
        </w:rPr>
        <w:fldChar w:fldCharType="end"/>
      </w:r>
      <w:r w:rsidR="003066E5" w:rsidRPr="00B21A27" w:rsidDel="00B21A27">
        <w:t xml:space="preserve"> </w:t>
      </w:r>
    </w:p>
    <w:p w:rsidR="003066E5" w:rsidRPr="008E3AF9" w:rsidRDefault="003066E5" w:rsidP="00FE5783">
      <w:pPr>
        <w:pStyle w:val="Heading1"/>
        <w:rPr>
          <w:szCs w:val="22"/>
        </w:rPr>
      </w:pPr>
      <w:bookmarkStart w:id="1" w:name="_Toc405369363"/>
      <w:r w:rsidRPr="008E3AF9">
        <w:rPr>
          <w:szCs w:val="22"/>
        </w:rPr>
        <w:lastRenderedPageBreak/>
        <w:t>Introduction</w:t>
      </w:r>
      <w:bookmarkEnd w:id="1"/>
    </w:p>
    <w:p w:rsidR="003066E5" w:rsidRPr="008E3AF9" w:rsidRDefault="003066E5" w:rsidP="00FE5783">
      <w:pPr>
        <w:tabs>
          <w:tab w:val="center" w:pos="4680"/>
        </w:tabs>
        <w:spacing w:line="20" w:lineRule="atLeast"/>
        <w:rPr>
          <w:rFonts w:ascii="Times New Roman" w:hAnsi="Times New Roman"/>
        </w:rPr>
      </w:pPr>
      <w:r w:rsidRPr="008E3AF9">
        <w:rPr>
          <w:rFonts w:ascii="Times New Roman" w:hAnsi="Times New Roman"/>
        </w:rPr>
        <w:t>The University of San Francisco (USF) conducts research, teaching, and other public service projects funded by sponsors outside the University.  External sources include both governmental and private organizations as well as foundations and corporations. To ensure that funds provided from these external sources are administered in accordance with University policies</w:t>
      </w:r>
      <w:r>
        <w:rPr>
          <w:rFonts w:ascii="Times New Roman" w:hAnsi="Times New Roman"/>
        </w:rPr>
        <w:t xml:space="preserve"> and procedures</w:t>
      </w:r>
      <w:r w:rsidRPr="008E3AF9">
        <w:rPr>
          <w:rFonts w:ascii="Times New Roman" w:hAnsi="Times New Roman"/>
        </w:rPr>
        <w:t xml:space="preserve">, as well as those of the sponsor, </w:t>
      </w:r>
      <w:r>
        <w:rPr>
          <w:rFonts w:ascii="Times New Roman" w:hAnsi="Times New Roman"/>
        </w:rPr>
        <w:t xml:space="preserve">externally funded projects </w:t>
      </w:r>
      <w:r w:rsidRPr="008E3AF9">
        <w:rPr>
          <w:rFonts w:ascii="Times New Roman" w:hAnsi="Times New Roman"/>
        </w:rPr>
        <w:t xml:space="preserve">will be administered through the Office of Contracts and Grants (OCG), a division of the Office of the Provost and Vice President for Academic Affairs. </w:t>
      </w:r>
    </w:p>
    <w:p w:rsidR="003066E5" w:rsidRPr="008E3AF9" w:rsidRDefault="003066E5" w:rsidP="00FE5783">
      <w:pPr>
        <w:tabs>
          <w:tab w:val="center" w:pos="4680"/>
        </w:tabs>
        <w:spacing w:line="20" w:lineRule="atLeast"/>
      </w:pPr>
      <w:r w:rsidRPr="008E3AF9">
        <w:rPr>
          <w:rFonts w:ascii="Times New Roman" w:hAnsi="Times New Roman"/>
        </w:rPr>
        <w:t xml:space="preserve">Funding provided </w:t>
      </w:r>
      <w:r>
        <w:rPr>
          <w:rFonts w:ascii="Times New Roman" w:hAnsi="Times New Roman"/>
        </w:rPr>
        <w:t xml:space="preserve">for scholarships, University fundraising priorities and capital projects </w:t>
      </w:r>
      <w:r w:rsidRPr="008E3AF9">
        <w:rPr>
          <w:rFonts w:ascii="Times New Roman" w:hAnsi="Times New Roman"/>
        </w:rPr>
        <w:t xml:space="preserve">is administered by the Office of Corporate and Foundation Relations (CFR) which is part of University </w:t>
      </w:r>
      <w:r w:rsidR="0082781B">
        <w:rPr>
          <w:rFonts w:ascii="Times New Roman" w:hAnsi="Times New Roman"/>
        </w:rPr>
        <w:t>A</w:t>
      </w:r>
      <w:r>
        <w:rPr>
          <w:rFonts w:ascii="Times New Roman" w:hAnsi="Times New Roman"/>
        </w:rPr>
        <w:t>dvancement.</w:t>
      </w:r>
    </w:p>
    <w:p w:rsidR="003066E5" w:rsidRPr="008E3AF9" w:rsidRDefault="003066E5" w:rsidP="00FE5783">
      <w:pPr>
        <w:spacing w:after="0" w:line="20" w:lineRule="atLeast"/>
        <w:rPr>
          <w:rFonts w:ascii="Times New Roman" w:hAnsi="Times New Roman"/>
          <w:b/>
          <w:bCs/>
        </w:rPr>
      </w:pPr>
      <w:r w:rsidRPr="008E3AF9">
        <w:rPr>
          <w:rFonts w:ascii="Times New Roman" w:hAnsi="Times New Roman"/>
        </w:rPr>
        <w:t xml:space="preserve">The Office of Contracts and Grants </w:t>
      </w:r>
      <w:r>
        <w:rPr>
          <w:rFonts w:ascii="Times New Roman" w:hAnsi="Times New Roman"/>
        </w:rPr>
        <w:t xml:space="preserve">(OCG) </w:t>
      </w:r>
      <w:r w:rsidRPr="008E3AF9">
        <w:rPr>
          <w:rFonts w:ascii="Times New Roman" w:hAnsi="Times New Roman"/>
        </w:rPr>
        <w:t>at the University of San Francisco resides in the Office of the Provost and reports directly to the Vice Provost.  It is staffed by a Director, who oversees all functions of the office, including Pre-Award and Post-Award activities, a</w:t>
      </w:r>
      <w:r w:rsidR="00806FA9">
        <w:rPr>
          <w:rFonts w:ascii="Times New Roman" w:hAnsi="Times New Roman"/>
        </w:rPr>
        <w:t xml:space="preserve"> Pre-Award Research Administrator and a </w:t>
      </w:r>
      <w:r w:rsidRPr="008E3AF9">
        <w:rPr>
          <w:rFonts w:ascii="Times New Roman" w:hAnsi="Times New Roman"/>
        </w:rPr>
        <w:t>Grants Accountant.  The office has primary responsibility for:</w:t>
      </w:r>
    </w:p>
    <w:p w:rsidR="003066E5" w:rsidRPr="004425BD" w:rsidRDefault="003066E5" w:rsidP="00FE5783">
      <w:pPr>
        <w:numPr>
          <w:ilvl w:val="0"/>
          <w:numId w:val="30"/>
        </w:numPr>
        <w:spacing w:before="100" w:beforeAutospacing="1" w:after="100" w:afterAutospacing="1" w:line="20" w:lineRule="atLeast"/>
        <w:rPr>
          <w:rFonts w:ascii="Times New Roman" w:hAnsi="Times New Roman"/>
          <w:b/>
          <w:bCs/>
        </w:rPr>
      </w:pPr>
      <w:r w:rsidRPr="008E3AF9">
        <w:rPr>
          <w:rFonts w:ascii="Times New Roman" w:hAnsi="Times New Roman"/>
        </w:rPr>
        <w:t>Review</w:t>
      </w:r>
      <w:r>
        <w:rPr>
          <w:rFonts w:ascii="Times New Roman" w:hAnsi="Times New Roman"/>
        </w:rPr>
        <w:t>ing</w:t>
      </w:r>
      <w:r w:rsidRPr="008E3AF9">
        <w:rPr>
          <w:rFonts w:ascii="Times New Roman" w:hAnsi="Times New Roman"/>
        </w:rPr>
        <w:t xml:space="preserve"> and approv</w:t>
      </w:r>
      <w:r>
        <w:rPr>
          <w:rFonts w:ascii="Times New Roman" w:hAnsi="Times New Roman"/>
        </w:rPr>
        <w:t>ing</w:t>
      </w:r>
      <w:r w:rsidRPr="008E3AF9">
        <w:rPr>
          <w:rFonts w:ascii="Times New Roman" w:hAnsi="Times New Roman"/>
        </w:rPr>
        <w:t xml:space="preserve"> </w:t>
      </w:r>
      <w:r>
        <w:rPr>
          <w:rFonts w:ascii="Times New Roman" w:hAnsi="Times New Roman"/>
        </w:rPr>
        <w:t xml:space="preserve">(through the Intent to Apply form) </w:t>
      </w:r>
      <w:r w:rsidRPr="008E3AF9">
        <w:rPr>
          <w:rFonts w:ascii="Times New Roman" w:hAnsi="Times New Roman"/>
        </w:rPr>
        <w:t xml:space="preserve"> </w:t>
      </w:r>
      <w:r>
        <w:rPr>
          <w:rFonts w:ascii="Times New Roman" w:hAnsi="Times New Roman"/>
        </w:rPr>
        <w:t>all faculty or staff initiated projects seeking external funding</w:t>
      </w:r>
    </w:p>
    <w:p w:rsidR="003066E5" w:rsidRPr="004425BD" w:rsidRDefault="003066E5" w:rsidP="00FE5783">
      <w:pPr>
        <w:numPr>
          <w:ilvl w:val="0"/>
          <w:numId w:val="30"/>
        </w:numPr>
        <w:spacing w:before="100" w:beforeAutospacing="1" w:after="100" w:afterAutospacing="1" w:line="20" w:lineRule="atLeast"/>
        <w:rPr>
          <w:rFonts w:ascii="Times New Roman" w:hAnsi="Times New Roman"/>
          <w:b/>
          <w:bCs/>
        </w:rPr>
      </w:pPr>
      <w:r>
        <w:rPr>
          <w:rFonts w:ascii="Times New Roman" w:hAnsi="Times New Roman"/>
        </w:rPr>
        <w:t>Reviewing and approving budgets for all externally funded projects</w:t>
      </w:r>
    </w:p>
    <w:p w:rsidR="003066E5" w:rsidRPr="004425BD" w:rsidRDefault="003066E5" w:rsidP="00FE5783">
      <w:pPr>
        <w:numPr>
          <w:ilvl w:val="0"/>
          <w:numId w:val="30"/>
        </w:numPr>
        <w:spacing w:before="100" w:beforeAutospacing="1" w:after="100" w:afterAutospacing="1" w:line="20" w:lineRule="atLeast"/>
        <w:rPr>
          <w:rFonts w:ascii="Times New Roman" w:hAnsi="Times New Roman"/>
          <w:b/>
          <w:bCs/>
        </w:rPr>
      </w:pPr>
      <w:r>
        <w:rPr>
          <w:rFonts w:ascii="Times New Roman" w:hAnsi="Times New Roman"/>
        </w:rPr>
        <w:t xml:space="preserve">Coordinating and approving the preparation and submission of all research </w:t>
      </w:r>
      <w:r w:rsidRPr="008E3AF9">
        <w:rPr>
          <w:rFonts w:ascii="Times New Roman" w:hAnsi="Times New Roman"/>
        </w:rPr>
        <w:t xml:space="preserve">proposals to be submitted to </w:t>
      </w:r>
      <w:r>
        <w:rPr>
          <w:rFonts w:ascii="Times New Roman" w:hAnsi="Times New Roman"/>
        </w:rPr>
        <w:t>government or private funders</w:t>
      </w:r>
    </w:p>
    <w:p w:rsidR="003066E5" w:rsidRPr="008E3AF9" w:rsidRDefault="003066E5" w:rsidP="00FE5783">
      <w:pPr>
        <w:numPr>
          <w:ilvl w:val="0"/>
          <w:numId w:val="30"/>
        </w:numPr>
        <w:spacing w:before="100" w:beforeAutospacing="1" w:after="100" w:afterAutospacing="1" w:line="20" w:lineRule="atLeast"/>
        <w:rPr>
          <w:rFonts w:ascii="Times New Roman" w:hAnsi="Times New Roman"/>
          <w:b/>
          <w:bCs/>
        </w:rPr>
      </w:pPr>
      <w:r w:rsidRPr="008E3AF9">
        <w:rPr>
          <w:rFonts w:ascii="Times New Roman" w:hAnsi="Times New Roman"/>
        </w:rPr>
        <w:t>Implementi</w:t>
      </w:r>
      <w:r>
        <w:rPr>
          <w:rFonts w:ascii="Times New Roman" w:hAnsi="Times New Roman"/>
        </w:rPr>
        <w:t>ng</w:t>
      </w:r>
      <w:r w:rsidRPr="008E3AF9">
        <w:rPr>
          <w:rFonts w:ascii="Times New Roman" w:hAnsi="Times New Roman"/>
        </w:rPr>
        <w:t xml:space="preserve"> the </w:t>
      </w:r>
      <w:smartTag w:uri="urn:schemas-microsoft-com:office:smarttags" w:element="place">
        <w:smartTag w:uri="urn:schemas-microsoft-com:office:smarttags" w:element="place">
          <w:r w:rsidRPr="008E3AF9">
            <w:rPr>
              <w:rFonts w:ascii="Times New Roman" w:hAnsi="Times New Roman"/>
            </w:rPr>
            <w:t>University</w:t>
          </w:r>
        </w:smartTag>
        <w:r w:rsidRPr="008E3AF9">
          <w:rPr>
            <w:rFonts w:ascii="Times New Roman" w:hAnsi="Times New Roman"/>
          </w:rPr>
          <w:t xml:space="preserve"> of </w:t>
        </w:r>
        <w:smartTag w:uri="urn:schemas-microsoft-com:office:smarttags" w:element="place">
          <w:r w:rsidRPr="008E3AF9">
            <w:rPr>
              <w:rFonts w:ascii="Times New Roman" w:hAnsi="Times New Roman"/>
            </w:rPr>
            <w:t>San Francisco</w:t>
          </w:r>
        </w:smartTag>
      </w:smartTag>
      <w:r w:rsidRPr="008E3AF9">
        <w:rPr>
          <w:rFonts w:ascii="Times New Roman" w:hAnsi="Times New Roman"/>
        </w:rPr>
        <w:t xml:space="preserve"> sponsored programs policies and their related procedures</w:t>
      </w:r>
    </w:p>
    <w:p w:rsidR="003066E5" w:rsidRPr="008E3AF9" w:rsidRDefault="003066E5" w:rsidP="00FE5783">
      <w:pPr>
        <w:numPr>
          <w:ilvl w:val="0"/>
          <w:numId w:val="30"/>
        </w:numPr>
        <w:spacing w:before="100" w:beforeAutospacing="1" w:after="100" w:afterAutospacing="1" w:line="20" w:lineRule="atLeast"/>
        <w:rPr>
          <w:rFonts w:ascii="Times New Roman" w:hAnsi="Times New Roman"/>
          <w:b/>
          <w:bCs/>
        </w:rPr>
      </w:pPr>
      <w:r w:rsidRPr="008E3AF9">
        <w:rPr>
          <w:rFonts w:ascii="Times New Roman" w:hAnsi="Times New Roman"/>
        </w:rPr>
        <w:t xml:space="preserve">Post-award administration </w:t>
      </w:r>
      <w:r>
        <w:rPr>
          <w:rFonts w:ascii="Times New Roman" w:hAnsi="Times New Roman"/>
        </w:rPr>
        <w:t xml:space="preserve">of all grants, including </w:t>
      </w:r>
      <w:r w:rsidRPr="008E3AF9">
        <w:rPr>
          <w:rFonts w:ascii="Times New Roman" w:hAnsi="Times New Roman"/>
        </w:rPr>
        <w:t xml:space="preserve">effort reporting, cost sharing, </w:t>
      </w:r>
      <w:proofErr w:type="spellStart"/>
      <w:r>
        <w:rPr>
          <w:rFonts w:ascii="Times New Roman" w:hAnsi="Times New Roman"/>
        </w:rPr>
        <w:t>subaward</w:t>
      </w:r>
      <w:proofErr w:type="spellEnd"/>
      <w:r>
        <w:rPr>
          <w:rFonts w:ascii="Times New Roman" w:hAnsi="Times New Roman"/>
        </w:rPr>
        <w:t xml:space="preserve"> administration, </w:t>
      </w:r>
      <w:r w:rsidRPr="008E3AF9">
        <w:rPr>
          <w:rFonts w:ascii="Times New Roman" w:hAnsi="Times New Roman"/>
        </w:rPr>
        <w:t>intellectual property, and close-out.</w:t>
      </w:r>
    </w:p>
    <w:p w:rsidR="003066E5" w:rsidRDefault="003066E5" w:rsidP="00FE5783">
      <w:pPr>
        <w:spacing w:before="100" w:beforeAutospacing="1" w:after="100" w:afterAutospacing="1" w:line="20" w:lineRule="atLeast"/>
        <w:rPr>
          <w:rFonts w:ascii="Times New Roman" w:hAnsi="Times New Roman"/>
        </w:rPr>
      </w:pPr>
      <w:r w:rsidRPr="008E3AF9">
        <w:rPr>
          <w:rFonts w:ascii="Times New Roman" w:hAnsi="Times New Roman"/>
        </w:rPr>
        <w:t xml:space="preserve">The </w:t>
      </w:r>
      <w:r>
        <w:rPr>
          <w:rFonts w:ascii="Times New Roman" w:hAnsi="Times New Roman"/>
        </w:rPr>
        <w:t xml:space="preserve">Director is </w:t>
      </w:r>
      <w:r w:rsidR="001E36DA">
        <w:rPr>
          <w:rFonts w:ascii="Times New Roman" w:hAnsi="Times New Roman"/>
        </w:rPr>
        <w:t xml:space="preserve">the </w:t>
      </w:r>
      <w:r w:rsidR="001E36DA" w:rsidRPr="008E3AF9">
        <w:rPr>
          <w:rFonts w:ascii="Times New Roman" w:hAnsi="Times New Roman"/>
        </w:rPr>
        <w:t>primary</w:t>
      </w:r>
      <w:r w:rsidRPr="008E3AF9">
        <w:rPr>
          <w:rFonts w:ascii="Times New Roman" w:hAnsi="Times New Roman"/>
        </w:rPr>
        <w:t xml:space="preserve"> faculty point-of-contact </w:t>
      </w:r>
      <w:r>
        <w:rPr>
          <w:rFonts w:ascii="Times New Roman" w:hAnsi="Times New Roman"/>
        </w:rPr>
        <w:t xml:space="preserve">for all faculty who are interested in applying for grants.  </w:t>
      </w:r>
      <w:r w:rsidRPr="008E3AF9">
        <w:rPr>
          <w:rFonts w:ascii="Times New Roman" w:hAnsi="Times New Roman"/>
        </w:rPr>
        <w:t xml:space="preserve"> </w:t>
      </w:r>
    </w:p>
    <w:p w:rsidR="003066E5" w:rsidRPr="004425BD" w:rsidRDefault="003066E5" w:rsidP="00FE5783">
      <w:pPr>
        <w:spacing w:before="100" w:beforeAutospacing="1" w:after="100" w:afterAutospacing="1" w:line="20" w:lineRule="atLeast"/>
        <w:rPr>
          <w:rFonts w:ascii="Times New Roman" w:hAnsi="Times New Roman"/>
          <w:b/>
        </w:rPr>
      </w:pPr>
      <w:r w:rsidRPr="004425BD">
        <w:rPr>
          <w:rFonts w:ascii="Times New Roman" w:hAnsi="Times New Roman"/>
          <w:b/>
        </w:rPr>
        <w:t>Role of the Office of Corporate and Foundation Relations</w:t>
      </w:r>
    </w:p>
    <w:p w:rsidR="003066E5" w:rsidRPr="00797395" w:rsidRDefault="003066E5" w:rsidP="00FE5783">
      <w:pPr>
        <w:spacing w:before="100" w:beforeAutospacing="1" w:after="100" w:afterAutospacing="1" w:line="20" w:lineRule="atLeast"/>
        <w:rPr>
          <w:rFonts w:ascii="Times New Roman" w:hAnsi="Times New Roman"/>
          <w:color w:val="000000"/>
        </w:rPr>
      </w:pPr>
      <w:r w:rsidRPr="008E3AF9">
        <w:rPr>
          <w:rFonts w:ascii="Times New Roman" w:hAnsi="Times New Roman"/>
        </w:rPr>
        <w:t xml:space="preserve">The CFR Office develops and maintains all University’s relationships with foundations or corporations and prepares and submits all </w:t>
      </w:r>
      <w:r>
        <w:rPr>
          <w:rFonts w:ascii="Times New Roman" w:hAnsi="Times New Roman"/>
        </w:rPr>
        <w:t xml:space="preserve">non-research </w:t>
      </w:r>
      <w:r w:rsidRPr="008E3AF9">
        <w:rPr>
          <w:rFonts w:ascii="Times New Roman" w:hAnsi="Times New Roman"/>
        </w:rPr>
        <w:t xml:space="preserve">proposals (with faculty support when appropriate) to foundations and </w:t>
      </w:r>
      <w:r w:rsidRPr="00797395">
        <w:rPr>
          <w:rFonts w:ascii="Times New Roman" w:hAnsi="Times New Roman"/>
          <w:color w:val="000000"/>
        </w:rPr>
        <w:t>corporations.  Contacts with foundations or corporations are carried out by the CFR Office exclusively.</w:t>
      </w:r>
    </w:p>
    <w:p w:rsidR="003066E5" w:rsidRDefault="003066E5" w:rsidP="00FE5783">
      <w:pPr>
        <w:spacing w:before="100" w:beforeAutospacing="1" w:after="100" w:afterAutospacing="1" w:line="20" w:lineRule="atLeast"/>
        <w:rPr>
          <w:rFonts w:ascii="Times New Roman" w:hAnsi="Times New Roman"/>
          <w:color w:val="000000"/>
        </w:rPr>
      </w:pPr>
      <w:r w:rsidRPr="00797395">
        <w:rPr>
          <w:rFonts w:ascii="Times New Roman" w:hAnsi="Times New Roman"/>
          <w:color w:val="000000"/>
        </w:rPr>
        <w:t xml:space="preserve">The pre-award policies in this manual, including other relevant University policies, apply to all proposals.   The post-award policies are applicable to all sponsored projects unless specified by the terms and conditions of the funder.     </w:t>
      </w:r>
    </w:p>
    <w:p w:rsidR="0082781B" w:rsidRDefault="004D5220" w:rsidP="00FE5783">
      <w:pPr>
        <w:spacing w:before="100" w:beforeAutospacing="1" w:after="100" w:afterAutospacing="1" w:line="20" w:lineRule="atLeast"/>
        <w:rPr>
          <w:rFonts w:ascii="Times New Roman" w:hAnsi="Times New Roman"/>
          <w:color w:val="000000"/>
        </w:rPr>
      </w:pPr>
      <w:r w:rsidRPr="00637560">
        <w:rPr>
          <w:rFonts w:ascii="Times New Roman" w:hAnsi="Times New Roman"/>
          <w:color w:val="000000"/>
        </w:rPr>
        <w:t>The Office of Contracts and Grants is responsible for the financial and post-award management of all grants, including those obtained by CFR.</w:t>
      </w:r>
      <w:r>
        <w:rPr>
          <w:rFonts w:ascii="Times New Roman" w:hAnsi="Times New Roman"/>
          <w:color w:val="000000"/>
        </w:rPr>
        <w:t xml:space="preserve"> </w:t>
      </w:r>
    </w:p>
    <w:p w:rsidR="004D5220" w:rsidRDefault="004D5220" w:rsidP="00FE5783">
      <w:pPr>
        <w:spacing w:before="100" w:beforeAutospacing="1" w:after="100" w:afterAutospacing="1" w:line="20" w:lineRule="atLeast"/>
        <w:rPr>
          <w:rFonts w:ascii="Times New Roman" w:hAnsi="Times New Roman"/>
          <w:color w:val="000000"/>
        </w:rPr>
      </w:pPr>
      <w:r>
        <w:rPr>
          <w:rFonts w:ascii="Times New Roman" w:hAnsi="Times New Roman"/>
          <w:color w:val="000000"/>
        </w:rPr>
        <w:t xml:space="preserve"> </w:t>
      </w:r>
    </w:p>
    <w:p w:rsidR="00637560" w:rsidRPr="00797395" w:rsidRDefault="00637560" w:rsidP="00FE5783">
      <w:pPr>
        <w:spacing w:before="100" w:beforeAutospacing="1" w:after="100" w:afterAutospacing="1" w:line="20" w:lineRule="atLeast"/>
        <w:rPr>
          <w:rFonts w:ascii="Times New Roman" w:hAnsi="Times New Roman"/>
          <w:color w:val="000000"/>
        </w:rPr>
      </w:pPr>
    </w:p>
    <w:p w:rsidR="003066E5" w:rsidRPr="008E3AF9" w:rsidRDefault="003066E5" w:rsidP="00FE5783">
      <w:pPr>
        <w:pStyle w:val="Heading1"/>
        <w:rPr>
          <w:szCs w:val="22"/>
        </w:rPr>
      </w:pPr>
      <w:bookmarkStart w:id="2" w:name="_Toc405369364"/>
      <w:r w:rsidRPr="008E3AF9">
        <w:rPr>
          <w:szCs w:val="22"/>
        </w:rPr>
        <w:lastRenderedPageBreak/>
        <w:t>PRE-AWARD</w:t>
      </w:r>
      <w:bookmarkEnd w:id="2"/>
    </w:p>
    <w:p w:rsidR="003066E5" w:rsidRPr="008E3AF9" w:rsidRDefault="003066E5" w:rsidP="00FE5783">
      <w:pPr>
        <w:pStyle w:val="Heading1"/>
        <w:numPr>
          <w:ilvl w:val="0"/>
          <w:numId w:val="36"/>
        </w:numPr>
        <w:rPr>
          <w:szCs w:val="22"/>
        </w:rPr>
      </w:pPr>
      <w:bookmarkStart w:id="3" w:name="_Toc405369365"/>
      <w:r w:rsidRPr="008E3AF9">
        <w:rPr>
          <w:szCs w:val="22"/>
        </w:rPr>
        <w:t>Proposal Development, Coordination, and Submission Requirements</w:t>
      </w:r>
      <w:bookmarkEnd w:id="3"/>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4" w:name="_Toc405369366"/>
      <w:r w:rsidRPr="008E3AF9">
        <w:rPr>
          <w:rStyle w:val="Strong"/>
          <w:rFonts w:ascii="Times New Roman" w:hAnsi="Times New Roman"/>
          <w:b/>
          <w:i/>
          <w:color w:val="auto"/>
          <w:sz w:val="22"/>
          <w:szCs w:val="22"/>
        </w:rPr>
        <w:t>PI Eligibility</w:t>
      </w:r>
      <w:bookmarkEnd w:id="4"/>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Tenured faculty, tenure track faculty, </w:t>
      </w:r>
      <w:r>
        <w:rPr>
          <w:rFonts w:ascii="Times New Roman" w:hAnsi="Times New Roman"/>
        </w:rPr>
        <w:t xml:space="preserve">and </w:t>
      </w:r>
      <w:r w:rsidRPr="008E3AF9">
        <w:rPr>
          <w:rFonts w:ascii="Times New Roman" w:hAnsi="Times New Roman"/>
        </w:rPr>
        <w:t xml:space="preserve">full-time term faculty are eligible to be a PI/Co-PI on a sponsored project.  </w:t>
      </w:r>
      <w:r>
        <w:rPr>
          <w:rFonts w:ascii="Times New Roman" w:hAnsi="Times New Roman"/>
        </w:rPr>
        <w:t>Any e</w:t>
      </w:r>
      <w:r w:rsidRPr="008E3AF9">
        <w:rPr>
          <w:rFonts w:ascii="Times New Roman" w:hAnsi="Times New Roman"/>
        </w:rPr>
        <w:t xml:space="preserve">xceptions must be approved by the Vice Provost. </w:t>
      </w:r>
    </w:p>
    <w:p w:rsidR="003066E5" w:rsidRPr="008E3AF9" w:rsidRDefault="003066E5" w:rsidP="00FE5783">
      <w:pPr>
        <w:spacing w:after="0" w:line="20" w:lineRule="atLeast"/>
        <w:rPr>
          <w:rFonts w:ascii="Times New Roman" w:hAnsi="Times New Roman"/>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5" w:name="_Toc405369367"/>
      <w:r w:rsidRPr="008E3AF9">
        <w:rPr>
          <w:rStyle w:val="Strong"/>
          <w:rFonts w:ascii="Times New Roman" w:hAnsi="Times New Roman"/>
          <w:b/>
          <w:i/>
          <w:color w:val="auto"/>
          <w:sz w:val="22"/>
          <w:szCs w:val="22"/>
        </w:rPr>
        <w:t>Proposal Process</w:t>
      </w:r>
      <w:bookmarkEnd w:id="5"/>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All proposals to external sponsors by USF faculty </w:t>
      </w:r>
      <w:r w:rsidR="00C878AC">
        <w:rPr>
          <w:rFonts w:ascii="Times New Roman" w:hAnsi="Times New Roman"/>
        </w:rPr>
        <w:t xml:space="preserve">or staff </w:t>
      </w:r>
      <w:r w:rsidRPr="008E3AF9">
        <w:rPr>
          <w:rFonts w:ascii="Times New Roman" w:hAnsi="Times New Roman"/>
        </w:rPr>
        <w:t xml:space="preserve">require internal approval </w:t>
      </w:r>
      <w:r>
        <w:rPr>
          <w:rFonts w:ascii="Times New Roman" w:hAnsi="Times New Roman"/>
        </w:rPr>
        <w:t>by the Vice Provo</w:t>
      </w:r>
      <w:r w:rsidR="00C878AC">
        <w:rPr>
          <w:rFonts w:ascii="Times New Roman" w:hAnsi="Times New Roman"/>
        </w:rPr>
        <w:t>st.</w:t>
      </w:r>
      <w:r>
        <w:rPr>
          <w:rFonts w:ascii="Times New Roman" w:hAnsi="Times New Roman"/>
        </w:rPr>
        <w:t xml:space="preserve"> </w:t>
      </w:r>
      <w:r w:rsidRPr="008E3AF9">
        <w:rPr>
          <w:rFonts w:ascii="Times New Roman" w:hAnsi="Times New Roman"/>
        </w:rPr>
        <w:t>prior to submission.  The process follows these general steps:</w:t>
      </w:r>
    </w:p>
    <w:p w:rsidR="003066E5" w:rsidRPr="008E3AF9" w:rsidRDefault="003066E5" w:rsidP="00FE5783">
      <w:pPr>
        <w:spacing w:after="0" w:line="20" w:lineRule="atLeast"/>
        <w:rPr>
          <w:rFonts w:ascii="Times New Roman" w:hAnsi="Times New Roman"/>
        </w:rPr>
      </w:pP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 xml:space="preserve">Principal Investigators (PIs) </w:t>
      </w:r>
      <w:r>
        <w:rPr>
          <w:rFonts w:ascii="Times New Roman" w:hAnsi="Times New Roman"/>
        </w:rPr>
        <w:t xml:space="preserve">or Program Directors (PDs) </w:t>
      </w:r>
      <w:r w:rsidRPr="008E3AF9">
        <w:rPr>
          <w:rFonts w:ascii="Times New Roman" w:hAnsi="Times New Roman"/>
          <w:b/>
        </w:rPr>
        <w:t>must</w:t>
      </w:r>
      <w:r w:rsidRPr="008E3AF9">
        <w:rPr>
          <w:rFonts w:ascii="Times New Roman" w:hAnsi="Times New Roman"/>
        </w:rPr>
        <w:t xml:space="preserve"> prepare an Intent to Apply Form </w:t>
      </w:r>
      <w:r>
        <w:rPr>
          <w:rFonts w:ascii="Times New Roman" w:hAnsi="Times New Roman"/>
        </w:rPr>
        <w:t xml:space="preserve">for all grants </w:t>
      </w:r>
      <w:r w:rsidRPr="008E3AF9">
        <w:rPr>
          <w:rFonts w:ascii="Times New Roman" w:hAnsi="Times New Roman"/>
        </w:rPr>
        <w:t>as soon as possible</w:t>
      </w:r>
      <w:r>
        <w:rPr>
          <w:rFonts w:ascii="Times New Roman" w:hAnsi="Times New Roman"/>
        </w:rPr>
        <w:t>.  This should occur b</w:t>
      </w:r>
      <w:r w:rsidRPr="008E3AF9">
        <w:rPr>
          <w:rFonts w:ascii="Times New Roman" w:hAnsi="Times New Roman"/>
        </w:rPr>
        <w:t>efore beginning the preparation of a proposal and before contacting the OCG</w:t>
      </w:r>
      <w:r>
        <w:rPr>
          <w:rFonts w:ascii="Times New Roman" w:hAnsi="Times New Roman"/>
        </w:rPr>
        <w:t xml:space="preserve"> </w:t>
      </w:r>
      <w:r w:rsidRPr="008E3AF9">
        <w:rPr>
          <w:rFonts w:ascii="Times New Roman" w:hAnsi="Times New Roman"/>
        </w:rPr>
        <w:t>. This form presupposes that discussions regarding the proposal have taken place between the PIs</w:t>
      </w:r>
      <w:r>
        <w:rPr>
          <w:rFonts w:ascii="Times New Roman" w:hAnsi="Times New Roman"/>
        </w:rPr>
        <w:t>/PDs</w:t>
      </w:r>
      <w:r w:rsidRPr="008E3AF9">
        <w:rPr>
          <w:rFonts w:ascii="Times New Roman" w:hAnsi="Times New Roman"/>
        </w:rPr>
        <w:t xml:space="preserve"> and the respective dean</w:t>
      </w:r>
      <w:r w:rsidR="00C878AC">
        <w:rPr>
          <w:rFonts w:ascii="Times New Roman" w:hAnsi="Times New Roman"/>
        </w:rPr>
        <w:t xml:space="preserve"> or vice president</w:t>
      </w:r>
      <w:r w:rsidRPr="008E3AF9">
        <w:rPr>
          <w:rFonts w:ascii="Times New Roman" w:hAnsi="Times New Roman"/>
        </w:rPr>
        <w:t xml:space="preserve">. </w:t>
      </w: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Anticipated request</w:t>
      </w:r>
      <w:r>
        <w:rPr>
          <w:rFonts w:ascii="Times New Roman" w:hAnsi="Times New Roman"/>
        </w:rPr>
        <w:t>s</w:t>
      </w:r>
      <w:r w:rsidRPr="008E3AF9">
        <w:rPr>
          <w:rFonts w:ascii="Times New Roman" w:hAnsi="Times New Roman"/>
        </w:rPr>
        <w:t xml:space="preserve"> for waivers of any </w:t>
      </w:r>
      <w:r>
        <w:rPr>
          <w:rFonts w:ascii="Times New Roman" w:hAnsi="Times New Roman"/>
        </w:rPr>
        <w:t xml:space="preserve">University policy or </w:t>
      </w:r>
      <w:r w:rsidRPr="008E3AF9">
        <w:rPr>
          <w:rFonts w:ascii="Times New Roman" w:hAnsi="Times New Roman"/>
        </w:rPr>
        <w:t xml:space="preserve">of the policies in this document must be specified in the Intent to Apply Form and can only be granted by the </w:t>
      </w:r>
      <w:r>
        <w:rPr>
          <w:rFonts w:ascii="Times New Roman" w:hAnsi="Times New Roman"/>
        </w:rPr>
        <w:t>Office of the Provost</w:t>
      </w:r>
      <w:r w:rsidRPr="008E3AF9">
        <w:rPr>
          <w:rFonts w:ascii="Times New Roman" w:hAnsi="Times New Roman"/>
        </w:rPr>
        <w:t>.</w:t>
      </w: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Principal Investigators (PIs)</w:t>
      </w:r>
      <w:r>
        <w:rPr>
          <w:rFonts w:ascii="Times New Roman" w:hAnsi="Times New Roman"/>
        </w:rPr>
        <w:t xml:space="preserve"> and Program Directors (PDs)</w:t>
      </w:r>
      <w:r w:rsidRPr="008E3AF9">
        <w:rPr>
          <w:rFonts w:ascii="Times New Roman" w:hAnsi="Times New Roman"/>
        </w:rPr>
        <w:t xml:space="preserve"> prepare proposal narratives and outline anticipated budgetary needs. Detailed budgets are prepared with assistance from OCG and</w:t>
      </w:r>
      <w:r>
        <w:rPr>
          <w:rFonts w:ascii="Times New Roman" w:hAnsi="Times New Roman"/>
        </w:rPr>
        <w:t>/or</w:t>
      </w:r>
      <w:r w:rsidRPr="008E3AF9">
        <w:rPr>
          <w:rFonts w:ascii="Times New Roman" w:hAnsi="Times New Roman"/>
        </w:rPr>
        <w:t xml:space="preserve"> School/College Business Manager as needed;</w:t>
      </w:r>
    </w:p>
    <w:p w:rsidR="003066E5" w:rsidRDefault="003066E5" w:rsidP="007B49E4">
      <w:pPr>
        <w:numPr>
          <w:ilvl w:val="0"/>
          <w:numId w:val="14"/>
        </w:numPr>
        <w:tabs>
          <w:tab w:val="num" w:pos="680"/>
        </w:tabs>
        <w:spacing w:after="0" w:line="20" w:lineRule="atLeast"/>
        <w:ind w:left="680"/>
        <w:rPr>
          <w:rFonts w:ascii="Times New Roman" w:hAnsi="Times New Roman"/>
          <w:b/>
          <w:bCs/>
        </w:rPr>
      </w:pPr>
      <w:r w:rsidRPr="008E3AF9">
        <w:rPr>
          <w:rFonts w:ascii="Times New Roman" w:hAnsi="Times New Roman"/>
        </w:rPr>
        <w:t xml:space="preserve">Principal Investigators (or co-PIs) </w:t>
      </w:r>
      <w:r>
        <w:rPr>
          <w:rFonts w:ascii="Times New Roman" w:hAnsi="Times New Roman"/>
        </w:rPr>
        <w:t xml:space="preserve">or Program Directors (PDs) </w:t>
      </w:r>
      <w:r w:rsidRPr="008E3AF9">
        <w:rPr>
          <w:rFonts w:ascii="Times New Roman" w:hAnsi="Times New Roman"/>
        </w:rPr>
        <w:t xml:space="preserve">complete and sign a </w:t>
      </w:r>
      <w:hyperlink r:id="rId10" w:history="1">
        <w:r w:rsidRPr="008E3AF9">
          <w:rPr>
            <w:rFonts w:ascii="Times New Roman" w:hAnsi="Times New Roman"/>
          </w:rPr>
          <w:t>proposal routing form</w:t>
        </w:r>
      </w:hyperlink>
      <w:r w:rsidRPr="008E3AF9">
        <w:rPr>
          <w:rFonts w:ascii="Times New Roman" w:hAnsi="Times New Roman"/>
        </w:rPr>
        <w:t xml:space="preserve">. By signing the </w:t>
      </w:r>
      <w:r>
        <w:rPr>
          <w:rFonts w:ascii="Times New Roman" w:hAnsi="Times New Roman"/>
        </w:rPr>
        <w:t>P</w:t>
      </w:r>
      <w:r w:rsidRPr="008E3AF9">
        <w:rPr>
          <w:rFonts w:ascii="Times New Roman" w:hAnsi="Times New Roman"/>
        </w:rPr>
        <w:t xml:space="preserve">roposal </w:t>
      </w:r>
      <w:r>
        <w:rPr>
          <w:rFonts w:ascii="Times New Roman" w:hAnsi="Times New Roman"/>
        </w:rPr>
        <w:t xml:space="preserve">Approval Form, </w:t>
      </w:r>
      <w:r w:rsidRPr="008E3AF9">
        <w:rPr>
          <w:rFonts w:ascii="Times New Roman" w:hAnsi="Times New Roman"/>
        </w:rPr>
        <w:t xml:space="preserve"> the PI</w:t>
      </w:r>
      <w:r>
        <w:rPr>
          <w:rFonts w:ascii="Times New Roman" w:hAnsi="Times New Roman"/>
        </w:rPr>
        <w:t>/PD</w:t>
      </w:r>
      <w:r w:rsidRPr="008E3AF9">
        <w:rPr>
          <w:rFonts w:ascii="Times New Roman" w:hAnsi="Times New Roman"/>
        </w:rPr>
        <w:t xml:space="preserve">: </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 xml:space="preserve">Certifies that the information submitted is complete and accurate to the best of </w:t>
      </w:r>
      <w:r>
        <w:rPr>
          <w:rFonts w:ascii="Times New Roman" w:hAnsi="Times New Roman" w:cs="Times New Roman"/>
          <w:b w:val="0"/>
          <w:sz w:val="22"/>
          <w:szCs w:val="22"/>
        </w:rPr>
        <w:t>her/</w:t>
      </w:r>
      <w:r w:rsidRPr="008E3AF9">
        <w:rPr>
          <w:rFonts w:ascii="Times New Roman" w:hAnsi="Times New Roman" w:cs="Times New Roman"/>
          <w:b w:val="0"/>
          <w:sz w:val="22"/>
          <w:szCs w:val="22"/>
        </w:rPr>
        <w:t>his knowledge;</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Acknowledges that any false, fictitious, or fraudulent statements or claims may subject the PI</w:t>
      </w:r>
      <w:r>
        <w:rPr>
          <w:rFonts w:ascii="Times New Roman" w:hAnsi="Times New Roman" w:cs="Times New Roman"/>
          <w:b w:val="0"/>
          <w:sz w:val="22"/>
          <w:szCs w:val="22"/>
        </w:rPr>
        <w:t>/PD</w:t>
      </w:r>
      <w:r w:rsidRPr="008E3AF9">
        <w:rPr>
          <w:rFonts w:ascii="Times New Roman" w:hAnsi="Times New Roman" w:cs="Times New Roman"/>
          <w:b w:val="0"/>
          <w:sz w:val="22"/>
          <w:szCs w:val="22"/>
        </w:rPr>
        <w:t xml:space="preserve"> to criminal, civil or administrative penalties;</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Agrees to accept responsibility for the conduct of the project and to provide progress reports; and</w:t>
      </w:r>
    </w:p>
    <w:p w:rsidR="003066E5" w:rsidRDefault="003066E5" w:rsidP="007B49E4">
      <w:pPr>
        <w:pStyle w:val="ListBullet"/>
        <w:numPr>
          <w:ilvl w:val="0"/>
          <w:numId w:val="33"/>
        </w:numPr>
        <w:spacing w:line="20" w:lineRule="atLeast"/>
        <w:ind w:left="1440"/>
        <w:contextualSpacing w:val="0"/>
        <w:rPr>
          <w:rFonts w:ascii="Times New Roman" w:hAnsi="Times New Roman" w:cs="Times New Roman"/>
          <w:b w:val="0"/>
          <w:sz w:val="22"/>
          <w:szCs w:val="22"/>
        </w:rPr>
      </w:pPr>
      <w:r w:rsidRPr="008E3AF9">
        <w:rPr>
          <w:rFonts w:ascii="Times New Roman" w:hAnsi="Times New Roman" w:cs="Times New Roman"/>
          <w:b w:val="0"/>
          <w:sz w:val="22"/>
          <w:szCs w:val="22"/>
        </w:rPr>
        <w:t>Attests to having submitted a report of non-University activities that accurately lists financial and other relationships (and those of one’s spouse</w:t>
      </w:r>
      <w:r>
        <w:rPr>
          <w:rFonts w:ascii="Times New Roman" w:hAnsi="Times New Roman" w:cs="Times New Roman"/>
          <w:b w:val="0"/>
          <w:sz w:val="22"/>
          <w:szCs w:val="22"/>
        </w:rPr>
        <w:t>/partner</w:t>
      </w:r>
      <w:r w:rsidRPr="008E3AF9">
        <w:rPr>
          <w:rFonts w:ascii="Times New Roman" w:hAnsi="Times New Roman" w:cs="Times New Roman"/>
          <w:b w:val="0"/>
          <w:sz w:val="22"/>
          <w:szCs w:val="22"/>
        </w:rPr>
        <w:t xml:space="preserve"> and dependent children) that might reasonably appear to be </w:t>
      </w:r>
      <w:r>
        <w:rPr>
          <w:rFonts w:ascii="Times New Roman" w:hAnsi="Times New Roman" w:cs="Times New Roman"/>
          <w:b w:val="0"/>
          <w:sz w:val="22"/>
          <w:szCs w:val="22"/>
        </w:rPr>
        <w:t xml:space="preserve">considered a conflict of interest.  </w:t>
      </w:r>
    </w:p>
    <w:p w:rsidR="003066E5" w:rsidRPr="008E3AF9" w:rsidRDefault="003066E5" w:rsidP="00FE5783">
      <w:pPr>
        <w:pStyle w:val="ListBullet"/>
        <w:tabs>
          <w:tab w:val="clear" w:pos="340"/>
        </w:tabs>
        <w:spacing w:line="20" w:lineRule="atLeast"/>
        <w:ind w:left="1440" w:firstLine="0"/>
        <w:contextualSpacing w:val="0"/>
        <w:rPr>
          <w:rFonts w:ascii="Times New Roman" w:hAnsi="Times New Roman" w:cs="Times New Roman"/>
          <w:b w:val="0"/>
          <w:sz w:val="22"/>
          <w:szCs w:val="22"/>
        </w:rPr>
      </w:pP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t>The PI</w:t>
      </w:r>
      <w:r>
        <w:rPr>
          <w:rFonts w:ascii="Times New Roman" w:hAnsi="Times New Roman"/>
        </w:rPr>
        <w:t>/PD</w:t>
      </w:r>
      <w:r w:rsidRPr="008E3AF9">
        <w:rPr>
          <w:rFonts w:ascii="Times New Roman" w:hAnsi="Times New Roman"/>
        </w:rPr>
        <w:t xml:space="preserve"> routes the </w:t>
      </w:r>
      <w:r>
        <w:rPr>
          <w:rFonts w:ascii="Times New Roman" w:hAnsi="Times New Roman"/>
        </w:rPr>
        <w:t xml:space="preserve">Proposal Approval Form </w:t>
      </w:r>
      <w:r w:rsidRPr="008E3AF9">
        <w:rPr>
          <w:rFonts w:ascii="Times New Roman" w:hAnsi="Times New Roman"/>
        </w:rPr>
        <w:t>and the following items for approval</w:t>
      </w:r>
      <w:r>
        <w:rPr>
          <w:rFonts w:ascii="Times New Roman" w:hAnsi="Times New Roman"/>
        </w:rPr>
        <w:t>:</w:t>
      </w:r>
      <w:r w:rsidRPr="008E3AF9">
        <w:rPr>
          <w:rFonts w:ascii="Times New Roman" w:hAnsi="Times New Roman"/>
        </w:rPr>
        <w:t xml:space="preserve"> </w:t>
      </w:r>
    </w:p>
    <w:p w:rsidR="003066E5" w:rsidRPr="008E3AF9" w:rsidRDefault="003066E5" w:rsidP="00FE5783">
      <w:pPr>
        <w:pStyle w:val="ListParagraph"/>
        <w:numPr>
          <w:ilvl w:val="0"/>
          <w:numId w:val="15"/>
        </w:numPr>
        <w:spacing w:after="0" w:line="20" w:lineRule="atLeast"/>
        <w:rPr>
          <w:rFonts w:ascii="Times New Roman" w:hAnsi="Times New Roman"/>
        </w:rPr>
      </w:pPr>
      <w:r w:rsidRPr="008E3AF9">
        <w:rPr>
          <w:rFonts w:ascii="Times New Roman" w:hAnsi="Times New Roman"/>
        </w:rPr>
        <w:t>Project Narrative;</w:t>
      </w:r>
    </w:p>
    <w:p w:rsidR="003066E5" w:rsidRPr="008E3AF9" w:rsidRDefault="003066E5" w:rsidP="00FE5783">
      <w:pPr>
        <w:pStyle w:val="ListParagraph"/>
        <w:numPr>
          <w:ilvl w:val="0"/>
          <w:numId w:val="15"/>
        </w:numPr>
        <w:spacing w:before="100" w:beforeAutospacing="1" w:after="100" w:afterAutospacing="1" w:line="20" w:lineRule="atLeast"/>
        <w:rPr>
          <w:rFonts w:ascii="Times New Roman" w:hAnsi="Times New Roman"/>
        </w:rPr>
      </w:pPr>
      <w:r w:rsidRPr="008E3AF9">
        <w:rPr>
          <w:rFonts w:ascii="Times New Roman" w:hAnsi="Times New Roman"/>
        </w:rPr>
        <w:t>Budget;</w:t>
      </w:r>
    </w:p>
    <w:p w:rsidR="003066E5" w:rsidRPr="008E3AF9" w:rsidRDefault="003066E5" w:rsidP="00FE5783">
      <w:pPr>
        <w:pStyle w:val="ListParagraph"/>
        <w:numPr>
          <w:ilvl w:val="0"/>
          <w:numId w:val="15"/>
        </w:numPr>
        <w:spacing w:before="100" w:beforeAutospacing="1" w:after="100" w:afterAutospacing="1" w:line="20" w:lineRule="atLeast"/>
        <w:rPr>
          <w:rFonts w:ascii="Times New Roman" w:hAnsi="Times New Roman"/>
        </w:rPr>
      </w:pPr>
      <w:r w:rsidRPr="008E3AF9">
        <w:rPr>
          <w:rFonts w:ascii="Times New Roman" w:hAnsi="Times New Roman"/>
        </w:rPr>
        <w:t>Budget Narrative;</w:t>
      </w:r>
    </w:p>
    <w:p w:rsidR="003066E5" w:rsidRPr="00637560" w:rsidRDefault="003066E5"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 xml:space="preserve">A link </w:t>
      </w:r>
      <w:r w:rsidR="00DC02D9" w:rsidRPr="00637560">
        <w:rPr>
          <w:rFonts w:ascii="Times New Roman" w:hAnsi="Times New Roman"/>
        </w:rPr>
        <w:t xml:space="preserve">to the </w:t>
      </w:r>
      <w:r w:rsidRPr="00637560">
        <w:rPr>
          <w:rFonts w:ascii="Times New Roman" w:hAnsi="Times New Roman"/>
        </w:rPr>
        <w:t>RFP on the web;</w:t>
      </w:r>
    </w:p>
    <w:p w:rsidR="00DC02D9" w:rsidRPr="00637560" w:rsidRDefault="00DC02D9"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A copy of the approved Intent to Apply form and the appropriate approvals;</w:t>
      </w:r>
    </w:p>
    <w:p w:rsidR="00DC02D9" w:rsidRPr="00637560" w:rsidRDefault="00DC02D9"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The FOAP for any items in the proposal that require cost share;</w:t>
      </w:r>
    </w:p>
    <w:p w:rsidR="00DC02D9" w:rsidRPr="00637560" w:rsidRDefault="00DC02D9" w:rsidP="00FE5783">
      <w:pPr>
        <w:pStyle w:val="ListParagraph"/>
        <w:numPr>
          <w:ilvl w:val="0"/>
          <w:numId w:val="15"/>
        </w:numPr>
        <w:spacing w:before="100" w:beforeAutospacing="1" w:after="100" w:afterAutospacing="1" w:line="20" w:lineRule="atLeast"/>
        <w:rPr>
          <w:rFonts w:ascii="Times New Roman" w:hAnsi="Times New Roman"/>
        </w:rPr>
      </w:pPr>
      <w:r w:rsidRPr="00637560">
        <w:rPr>
          <w:rFonts w:ascii="Times New Roman" w:hAnsi="Times New Roman"/>
        </w:rPr>
        <w:t>Notice of IRB approval</w:t>
      </w:r>
      <w:r w:rsidR="00C878AC" w:rsidRPr="00637560">
        <w:rPr>
          <w:rFonts w:ascii="Times New Roman" w:hAnsi="Times New Roman"/>
        </w:rPr>
        <w:t xml:space="preserve"> (if required)</w:t>
      </w:r>
      <w:r w:rsidRPr="00637560">
        <w:rPr>
          <w:rFonts w:ascii="Times New Roman" w:hAnsi="Times New Roman"/>
        </w:rPr>
        <w:t>;</w:t>
      </w:r>
    </w:p>
    <w:p w:rsidR="003066E5" w:rsidRPr="00637560" w:rsidRDefault="003066E5" w:rsidP="00637560">
      <w:pPr>
        <w:pStyle w:val="ListParagraph"/>
        <w:numPr>
          <w:ilvl w:val="0"/>
          <w:numId w:val="15"/>
        </w:numPr>
        <w:spacing w:before="100" w:beforeAutospacing="1" w:after="100" w:afterAutospacing="1" w:line="20" w:lineRule="atLeast"/>
        <w:rPr>
          <w:rFonts w:ascii="Times New Roman" w:hAnsi="Times New Roman"/>
        </w:rPr>
      </w:pPr>
      <w:r w:rsidRPr="008E3AF9">
        <w:rPr>
          <w:rFonts w:ascii="Times New Roman" w:hAnsi="Times New Roman"/>
        </w:rPr>
        <w:t>A list of subcontractors and collaborators and their contact information</w:t>
      </w: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t>The following approvals are required:</w:t>
      </w:r>
    </w:p>
    <w:p w:rsidR="00DC02D9" w:rsidRPr="00637560" w:rsidRDefault="00DC02D9" w:rsidP="007B49E4">
      <w:pPr>
        <w:pStyle w:val="ListParagraph"/>
        <w:numPr>
          <w:ilvl w:val="0"/>
          <w:numId w:val="31"/>
        </w:numPr>
        <w:tabs>
          <w:tab w:val="clear" w:pos="1400"/>
        </w:tabs>
        <w:spacing w:after="0" w:line="20" w:lineRule="atLeast"/>
        <w:ind w:left="1440" w:hanging="360"/>
        <w:rPr>
          <w:rFonts w:ascii="Times New Roman" w:hAnsi="Times New Roman"/>
        </w:rPr>
      </w:pPr>
      <w:r w:rsidRPr="00637560">
        <w:rPr>
          <w:rFonts w:ascii="Times New Roman" w:hAnsi="Times New Roman"/>
        </w:rPr>
        <w:t>The Principal Investigator or Project Director</w:t>
      </w:r>
    </w:p>
    <w:p w:rsidR="003066E5" w:rsidRDefault="003066E5" w:rsidP="007B49E4">
      <w:pPr>
        <w:pStyle w:val="ListParagraph"/>
        <w:numPr>
          <w:ilvl w:val="0"/>
          <w:numId w:val="31"/>
        </w:numPr>
        <w:tabs>
          <w:tab w:val="clear" w:pos="1400"/>
        </w:tabs>
        <w:spacing w:after="0" w:line="20" w:lineRule="atLeast"/>
        <w:ind w:left="1440" w:hanging="360"/>
        <w:rPr>
          <w:rFonts w:ascii="Times New Roman" w:hAnsi="Times New Roman"/>
        </w:rPr>
      </w:pPr>
      <w:r w:rsidRPr="008E3AF9">
        <w:rPr>
          <w:rFonts w:ascii="Times New Roman" w:hAnsi="Times New Roman"/>
        </w:rPr>
        <w:t>For faculty in academic departments</w:t>
      </w:r>
      <w:r>
        <w:rPr>
          <w:rFonts w:ascii="Times New Roman" w:hAnsi="Times New Roman"/>
        </w:rPr>
        <w:t>:</w:t>
      </w:r>
      <w:r w:rsidRPr="008E3AF9">
        <w:rPr>
          <w:rFonts w:ascii="Times New Roman" w:hAnsi="Times New Roman"/>
        </w:rPr>
        <w:t xml:space="preserve"> Dean</w:t>
      </w:r>
      <w:r w:rsidR="00DC02D9">
        <w:rPr>
          <w:rFonts w:ascii="Times New Roman" w:hAnsi="Times New Roman"/>
        </w:rPr>
        <w:t xml:space="preserve"> or Associate</w:t>
      </w:r>
      <w:r w:rsidRPr="008E3AF9">
        <w:rPr>
          <w:rFonts w:ascii="Times New Roman" w:hAnsi="Times New Roman"/>
        </w:rPr>
        <w:t>;</w:t>
      </w:r>
      <w:r>
        <w:rPr>
          <w:rFonts w:ascii="Times New Roman" w:hAnsi="Times New Roman"/>
        </w:rPr>
        <w:t xml:space="preserve"> Vice Provost</w:t>
      </w:r>
    </w:p>
    <w:p w:rsidR="003066E5" w:rsidRDefault="003066E5" w:rsidP="007B49E4">
      <w:pPr>
        <w:pStyle w:val="ListParagraph"/>
        <w:numPr>
          <w:ilvl w:val="0"/>
          <w:numId w:val="31"/>
        </w:numPr>
        <w:tabs>
          <w:tab w:val="clear" w:pos="1400"/>
        </w:tabs>
        <w:spacing w:before="100" w:beforeAutospacing="1" w:after="100" w:afterAutospacing="1" w:line="20" w:lineRule="atLeast"/>
        <w:ind w:left="1440" w:hanging="360"/>
        <w:rPr>
          <w:rFonts w:ascii="Times New Roman" w:hAnsi="Times New Roman"/>
        </w:rPr>
      </w:pPr>
      <w:r w:rsidRPr="008E3AF9">
        <w:rPr>
          <w:rFonts w:ascii="Times New Roman" w:hAnsi="Times New Roman"/>
        </w:rPr>
        <w:t>For non-academic departments</w:t>
      </w:r>
      <w:r>
        <w:rPr>
          <w:rFonts w:ascii="Times New Roman" w:hAnsi="Times New Roman"/>
        </w:rPr>
        <w:t>:</w:t>
      </w:r>
      <w:r w:rsidRPr="008E3AF9">
        <w:rPr>
          <w:rFonts w:ascii="Times New Roman" w:hAnsi="Times New Roman"/>
        </w:rPr>
        <w:t xml:space="preserve"> </w:t>
      </w:r>
      <w:r>
        <w:rPr>
          <w:rFonts w:ascii="Times New Roman" w:hAnsi="Times New Roman"/>
        </w:rPr>
        <w:t xml:space="preserve">Vice President, Vice Provost; </w:t>
      </w:r>
    </w:p>
    <w:p w:rsidR="003066E5" w:rsidRDefault="003066E5" w:rsidP="007B49E4">
      <w:pPr>
        <w:pStyle w:val="ListParagraph"/>
        <w:numPr>
          <w:ilvl w:val="0"/>
          <w:numId w:val="31"/>
        </w:numPr>
        <w:tabs>
          <w:tab w:val="clear" w:pos="1400"/>
        </w:tabs>
        <w:spacing w:before="100" w:beforeAutospacing="1" w:after="100" w:afterAutospacing="1" w:line="20" w:lineRule="atLeast"/>
        <w:ind w:left="1440" w:hanging="360"/>
        <w:rPr>
          <w:rFonts w:ascii="Times New Roman" w:hAnsi="Times New Roman"/>
        </w:rPr>
      </w:pPr>
      <w:r w:rsidRPr="008E3AF9">
        <w:rPr>
          <w:rFonts w:ascii="Times New Roman" w:hAnsi="Times New Roman"/>
        </w:rPr>
        <w:t>The proposal is then routed to the OCG;</w:t>
      </w:r>
    </w:p>
    <w:p w:rsidR="003066E5" w:rsidRDefault="003066E5" w:rsidP="007B49E4">
      <w:pPr>
        <w:pStyle w:val="ListParagraph"/>
        <w:numPr>
          <w:ilvl w:val="0"/>
          <w:numId w:val="31"/>
        </w:numPr>
        <w:tabs>
          <w:tab w:val="clear" w:pos="1400"/>
        </w:tabs>
        <w:spacing w:before="100" w:beforeAutospacing="1" w:after="100" w:afterAutospacing="1" w:line="20" w:lineRule="atLeast"/>
        <w:ind w:left="1440" w:hanging="360"/>
        <w:rPr>
          <w:rFonts w:ascii="Times New Roman" w:hAnsi="Times New Roman"/>
        </w:rPr>
      </w:pPr>
      <w:r w:rsidRPr="008E3AF9">
        <w:rPr>
          <w:rFonts w:ascii="Times New Roman" w:hAnsi="Times New Roman"/>
        </w:rPr>
        <w:t>Proposals involving faculty from multiple units, or faculty with joint appointments, must be routed through all applicable administrative lines;</w:t>
      </w: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lastRenderedPageBreak/>
        <w:t xml:space="preserve">The OCG, upon receiving the </w:t>
      </w:r>
      <w:r>
        <w:rPr>
          <w:rFonts w:ascii="Times New Roman" w:hAnsi="Times New Roman"/>
        </w:rPr>
        <w:t>signed Proposal Routing Form, obtains approval from the</w:t>
      </w:r>
      <w:r w:rsidRPr="008E3AF9">
        <w:rPr>
          <w:rFonts w:ascii="Times New Roman" w:hAnsi="Times New Roman"/>
        </w:rPr>
        <w:t xml:space="preserve"> Vice Provost.</w:t>
      </w:r>
    </w:p>
    <w:p w:rsidR="003066E5" w:rsidRPr="008E3AF9" w:rsidRDefault="003066E5" w:rsidP="00FE5783">
      <w:pPr>
        <w:spacing w:after="0" w:line="20" w:lineRule="atLeast"/>
        <w:rPr>
          <w:rFonts w:ascii="Times New Roman" w:hAnsi="Times New Roman"/>
        </w:rPr>
      </w:pPr>
    </w:p>
    <w:p w:rsidR="003066E5" w:rsidRDefault="003066E5" w:rsidP="007B49E4">
      <w:pPr>
        <w:numPr>
          <w:ilvl w:val="0"/>
          <w:numId w:val="14"/>
        </w:numPr>
        <w:tabs>
          <w:tab w:val="num" w:pos="680"/>
        </w:tabs>
        <w:spacing w:after="0" w:line="20" w:lineRule="atLeast"/>
        <w:ind w:left="680"/>
        <w:rPr>
          <w:rFonts w:ascii="Times New Roman" w:hAnsi="Times New Roman"/>
        </w:rPr>
      </w:pPr>
      <w:r w:rsidRPr="008E3AF9">
        <w:rPr>
          <w:rFonts w:ascii="Times New Roman" w:hAnsi="Times New Roman"/>
        </w:rPr>
        <w:t>The proposal package is then submitted to the sponsor by the OCG</w:t>
      </w:r>
      <w:r>
        <w:rPr>
          <w:rFonts w:ascii="Times New Roman" w:hAnsi="Times New Roman"/>
        </w:rPr>
        <w:t xml:space="preserve"> or the CFR</w:t>
      </w:r>
      <w:r w:rsidRPr="008E3AF9">
        <w:rPr>
          <w:rFonts w:ascii="Times New Roman" w:hAnsi="Times New Roman"/>
        </w:rPr>
        <w:t>.</w:t>
      </w:r>
    </w:p>
    <w:p w:rsidR="003066E5" w:rsidRPr="008E3AF9" w:rsidRDefault="003066E5" w:rsidP="00FE5783">
      <w:pPr>
        <w:spacing w:after="0" w:line="20" w:lineRule="atLeast"/>
        <w:rPr>
          <w:rFonts w:ascii="Times New Roman" w:hAnsi="Times New Roman"/>
        </w:rPr>
      </w:pPr>
    </w:p>
    <w:p w:rsidR="003066E5" w:rsidRPr="004425BD" w:rsidRDefault="003066E5" w:rsidP="00FE5783">
      <w:pPr>
        <w:spacing w:after="0" w:line="20" w:lineRule="atLeast"/>
        <w:rPr>
          <w:rFonts w:ascii="Times New Roman" w:hAnsi="Times New Roman"/>
          <w:u w:val="single"/>
        </w:rPr>
      </w:pPr>
      <w:r w:rsidRPr="004425BD">
        <w:rPr>
          <w:rFonts w:ascii="Times New Roman" w:hAnsi="Times New Roman"/>
          <w:u w:val="single"/>
        </w:rPr>
        <w:t xml:space="preserve">Proposals that are submitted to external sponsors without first completing the internal approval process may be withdrawn at the discretion of the Director of the OCG.  </w:t>
      </w:r>
      <w:r>
        <w:rPr>
          <w:rFonts w:ascii="Times New Roman" w:hAnsi="Times New Roman"/>
          <w:u w:val="single"/>
        </w:rPr>
        <w:t>USF is not obligated to honor proposals submitted without internal approvals by the designated officials.</w:t>
      </w:r>
    </w:p>
    <w:p w:rsidR="003066E5" w:rsidRPr="004425BD" w:rsidRDefault="003066E5" w:rsidP="00FE5783">
      <w:pPr>
        <w:spacing w:after="0" w:line="20" w:lineRule="atLeast"/>
        <w:rPr>
          <w:rFonts w:ascii="Times New Roman" w:hAnsi="Times New Roman"/>
          <w:u w:val="single"/>
        </w:rPr>
      </w:pPr>
    </w:p>
    <w:p w:rsidR="003066E5" w:rsidRPr="008E3AF9" w:rsidRDefault="003066E5" w:rsidP="00FE5783">
      <w:pPr>
        <w:spacing w:after="0" w:line="20" w:lineRule="atLeast"/>
        <w:rPr>
          <w:rFonts w:ascii="Times New Roman" w:hAnsi="Times New Roman"/>
        </w:rPr>
      </w:pPr>
      <w:r w:rsidRPr="008E3AF9">
        <w:rPr>
          <w:rFonts w:ascii="Times New Roman" w:hAnsi="Times New Roman"/>
          <w:b/>
        </w:rPr>
        <w:t>A minimum of five business days</w:t>
      </w:r>
      <w:r w:rsidRPr="008E3AF9">
        <w:rPr>
          <w:rFonts w:ascii="Times New Roman" w:hAnsi="Times New Roman"/>
        </w:rPr>
        <w:t xml:space="preserve"> is required by the OCG to review </w:t>
      </w:r>
      <w:r>
        <w:rPr>
          <w:rFonts w:ascii="Times New Roman" w:hAnsi="Times New Roman"/>
        </w:rPr>
        <w:t xml:space="preserve">completed </w:t>
      </w:r>
      <w:r w:rsidRPr="008E3AF9">
        <w:rPr>
          <w:rFonts w:ascii="Times New Roman" w:hAnsi="Times New Roman"/>
        </w:rPr>
        <w:t>proposals and obtain the necessary approvals.</w:t>
      </w:r>
    </w:p>
    <w:p w:rsidR="003066E5" w:rsidRPr="008E3AF9" w:rsidRDefault="003066E5" w:rsidP="00FE5783">
      <w:pPr>
        <w:spacing w:after="0" w:line="20" w:lineRule="atLeast"/>
        <w:rPr>
          <w:rFonts w:ascii="Times New Roman" w:hAnsi="Times New Roman"/>
        </w:rPr>
      </w:pPr>
    </w:p>
    <w:p w:rsidR="003066E5" w:rsidRPr="008E3AF9" w:rsidRDefault="003066E5" w:rsidP="00FE5783">
      <w:pPr>
        <w:pStyle w:val="Heading2"/>
        <w:spacing w:before="0" w:beforeAutospacing="0" w:after="0" w:afterAutospacing="0" w:line="20" w:lineRule="atLeast"/>
        <w:rPr>
          <w:rFonts w:ascii="Times New Roman" w:hAnsi="Times New Roman"/>
          <w:b w:val="0"/>
          <w:i/>
          <w:color w:val="auto"/>
          <w:sz w:val="22"/>
          <w:szCs w:val="22"/>
        </w:rPr>
      </w:pPr>
      <w:bookmarkStart w:id="6" w:name="electronicproposals"/>
      <w:bookmarkStart w:id="7" w:name="_Toc405369368"/>
      <w:bookmarkEnd w:id="6"/>
      <w:r w:rsidRPr="008E3AF9">
        <w:rPr>
          <w:rStyle w:val="Strong"/>
          <w:rFonts w:ascii="Times New Roman" w:hAnsi="Times New Roman"/>
          <w:b/>
          <w:i/>
          <w:color w:val="auto"/>
          <w:sz w:val="22"/>
          <w:szCs w:val="22"/>
        </w:rPr>
        <w:t>Electronic Proposals</w:t>
      </w:r>
      <w:bookmarkEnd w:id="7"/>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Many agencies, both private and governmental, require that proposals be submitted electronically.  The submission may occur via email (attaching all relevant documents), or through a specialized online proposal submission system.  Regardless of the type of submission, the polic</w:t>
      </w:r>
      <w:r>
        <w:rPr>
          <w:sz w:val="22"/>
          <w:szCs w:val="22"/>
        </w:rPr>
        <w:t xml:space="preserve">ies </w:t>
      </w:r>
      <w:r w:rsidRPr="008E3AF9">
        <w:rPr>
          <w:sz w:val="22"/>
          <w:szCs w:val="22"/>
        </w:rPr>
        <w:t xml:space="preserve"> described in this section appl</w:t>
      </w:r>
      <w:r>
        <w:rPr>
          <w:sz w:val="22"/>
          <w:szCs w:val="22"/>
        </w:rPr>
        <w:t>y</w:t>
      </w:r>
      <w:r w:rsidRPr="008E3AF9">
        <w:rPr>
          <w:sz w:val="22"/>
          <w:szCs w:val="22"/>
        </w:rPr>
        <w:t>.  Electronic proposals must be routed and approved in the same manner as hard copy paper proposals prior to submission to an external sponsor.</w:t>
      </w:r>
      <w:bookmarkStart w:id="8" w:name="signatureauthority"/>
      <w:bookmarkEnd w:id="8"/>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color w:val="auto"/>
        </w:rPr>
      </w:pPr>
      <w:bookmarkStart w:id="9" w:name="_Toc405369369"/>
      <w:r w:rsidRPr="008E3AF9">
        <w:rPr>
          <w:rStyle w:val="Strong"/>
          <w:rFonts w:ascii="Times New Roman" w:hAnsi="Times New Roman"/>
          <w:b/>
          <w:i/>
          <w:color w:val="auto"/>
          <w:sz w:val="22"/>
          <w:szCs w:val="22"/>
        </w:rPr>
        <w:t>Signature Authority for Proposals</w:t>
      </w:r>
      <w:bookmarkEnd w:id="9"/>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 xml:space="preserve">The Vice </w:t>
      </w:r>
      <w:r w:rsidR="001E36DA" w:rsidRPr="008E3AF9">
        <w:rPr>
          <w:sz w:val="22"/>
          <w:szCs w:val="22"/>
        </w:rPr>
        <w:t>Provost generally</w:t>
      </w:r>
      <w:r w:rsidRPr="008E3AF9">
        <w:rPr>
          <w:sz w:val="22"/>
          <w:szCs w:val="22"/>
        </w:rPr>
        <w:t xml:space="preserve"> serves as the Institutional Official authorized to commit the institution to the budget and scope of work described in the proposal.  </w:t>
      </w:r>
      <w:r>
        <w:rPr>
          <w:sz w:val="22"/>
          <w:szCs w:val="22"/>
        </w:rPr>
        <w:t xml:space="preserve">Online signatory authority has been delegated to the Director, Office of Contracts and Grants.  </w:t>
      </w:r>
      <w:r w:rsidRPr="008E3AF9">
        <w:rPr>
          <w:sz w:val="22"/>
          <w:szCs w:val="22"/>
        </w:rPr>
        <w:t>This policy applies to both hard copy and electronic signatures.</w:t>
      </w:r>
    </w:p>
    <w:p w:rsidR="003066E5"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10" w:name="_Toc405369370"/>
      <w:r w:rsidRPr="008E3AF9">
        <w:rPr>
          <w:rStyle w:val="Strong"/>
          <w:rFonts w:ascii="Times New Roman" w:hAnsi="Times New Roman"/>
          <w:b/>
          <w:i/>
          <w:color w:val="auto"/>
          <w:sz w:val="22"/>
          <w:szCs w:val="22"/>
        </w:rPr>
        <w:t>Special Issues Related to Human Subjects</w:t>
      </w:r>
      <w:bookmarkEnd w:id="10"/>
    </w:p>
    <w:p w:rsidR="003066E5" w:rsidRPr="008E3AF9" w:rsidRDefault="003066E5" w:rsidP="00FE5783">
      <w:pPr>
        <w:pStyle w:val="ListParagraph"/>
        <w:autoSpaceDE w:val="0"/>
        <w:autoSpaceDN w:val="0"/>
        <w:adjustRightInd w:val="0"/>
        <w:spacing w:after="0" w:line="20" w:lineRule="atLeast"/>
        <w:ind w:left="0"/>
        <w:rPr>
          <w:rFonts w:ascii="Times New Roman" w:hAnsi="Times New Roman"/>
        </w:rPr>
      </w:pPr>
      <w:r w:rsidRPr="008E3AF9">
        <w:rPr>
          <w:rFonts w:ascii="Times New Roman" w:hAnsi="Times New Roman"/>
        </w:rPr>
        <w:t>The USF’s Institutional Review Board</w:t>
      </w:r>
      <w:r>
        <w:rPr>
          <w:rFonts w:ascii="Times New Roman" w:hAnsi="Times New Roman"/>
        </w:rPr>
        <w:t xml:space="preserve"> for the Protection of Human Subjects</w:t>
      </w:r>
      <w:r w:rsidRPr="008E3AF9">
        <w:rPr>
          <w:rFonts w:ascii="Times New Roman" w:hAnsi="Times New Roman"/>
        </w:rPr>
        <w:t xml:space="preserve"> (IRB) must review and approve any relevant activity that will involve human subjects.  PIs</w:t>
      </w:r>
      <w:r>
        <w:rPr>
          <w:rFonts w:ascii="Times New Roman" w:hAnsi="Times New Roman"/>
        </w:rPr>
        <w:t>/PDs</w:t>
      </w:r>
      <w:r w:rsidRPr="008E3AF9">
        <w:rPr>
          <w:rFonts w:ascii="Times New Roman" w:hAnsi="Times New Roman"/>
        </w:rPr>
        <w:t xml:space="preserve"> should contact the IRB’s website (</w:t>
      </w:r>
      <w:hyperlink r:id="rId11" w:history="1">
        <w:r w:rsidRPr="008E3AF9">
          <w:rPr>
            <w:rStyle w:val="Hyperlink"/>
            <w:rFonts w:ascii="Times New Roman" w:hAnsi="Times New Roman"/>
          </w:rPr>
          <w:t>www.usfca.edu/humansubjects</w:t>
        </w:r>
      </w:hyperlink>
      <w:r w:rsidRPr="008E3AF9">
        <w:rPr>
          <w:rFonts w:ascii="Times New Roman" w:hAnsi="Times New Roman"/>
        </w:rPr>
        <w:t xml:space="preserve"> )  for information on projects that required review as well as all documents that need to be submitted.  Review and approval should be completed before final acceptance of the award</w:t>
      </w:r>
      <w:r>
        <w:rPr>
          <w:rFonts w:ascii="Times New Roman" w:hAnsi="Times New Roman"/>
        </w:rPr>
        <w:t>.  The project cannot commence prior to IRB approval.</w:t>
      </w:r>
      <w:r w:rsidRPr="008E3AF9">
        <w:rPr>
          <w:rFonts w:ascii="Times New Roman" w:hAnsi="Times New Roman"/>
        </w:rPr>
        <w:t xml:space="preserve"> </w:t>
      </w:r>
    </w:p>
    <w:p w:rsidR="003066E5" w:rsidRPr="008E3AF9" w:rsidRDefault="003066E5" w:rsidP="00FE5783">
      <w:pPr>
        <w:pStyle w:val="ListParagraph"/>
        <w:autoSpaceDE w:val="0"/>
        <w:autoSpaceDN w:val="0"/>
        <w:adjustRightInd w:val="0"/>
        <w:spacing w:after="0" w:line="20" w:lineRule="atLeast"/>
        <w:ind w:left="0"/>
        <w:rPr>
          <w:rFonts w:ascii="Times New Roman" w:hAnsi="Times New Roman"/>
        </w:rPr>
      </w:pPr>
      <w:r w:rsidRPr="008E3AF9">
        <w:rPr>
          <w:rFonts w:ascii="Times New Roman" w:hAnsi="Times New Roman"/>
        </w:rPr>
        <w:t xml:space="preserve"> </w:t>
      </w:r>
    </w:p>
    <w:p w:rsidR="003066E5" w:rsidRPr="008E3AF9" w:rsidRDefault="003066E5" w:rsidP="00FE5783">
      <w:pPr>
        <w:pStyle w:val="Heading1"/>
        <w:numPr>
          <w:ilvl w:val="0"/>
          <w:numId w:val="36"/>
        </w:numPr>
        <w:rPr>
          <w:szCs w:val="22"/>
        </w:rPr>
      </w:pPr>
      <w:bookmarkStart w:id="11" w:name="_Toc405369371"/>
      <w:r w:rsidRPr="008E3AF9">
        <w:rPr>
          <w:szCs w:val="22"/>
        </w:rPr>
        <w:t>Award Process and Budget Development</w:t>
      </w:r>
      <w:bookmarkEnd w:id="11"/>
      <w:r w:rsidRPr="008E3AF9">
        <w:rPr>
          <w:szCs w:val="22"/>
        </w:rPr>
        <w:t xml:space="preserve"> </w:t>
      </w:r>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A proposal to an </w:t>
      </w:r>
      <w:r>
        <w:rPr>
          <w:rFonts w:ascii="Times New Roman" w:hAnsi="Times New Roman"/>
        </w:rPr>
        <w:t>external</w:t>
      </w:r>
      <w:r w:rsidRPr="008E3AF9">
        <w:rPr>
          <w:rFonts w:ascii="Times New Roman" w:hAnsi="Times New Roman"/>
        </w:rPr>
        <w:t xml:space="preserve"> sponsor normally includes a detailed budget.  Sponsor guidelines should always be consulted for specific directives on budget preparation.  </w:t>
      </w:r>
      <w:r>
        <w:rPr>
          <w:rFonts w:ascii="Times New Roman" w:hAnsi="Times New Roman"/>
        </w:rPr>
        <w:t xml:space="preserve">Budget development must occur at the proposal stage and revised, if need be, at the award stage. </w:t>
      </w:r>
      <w:r w:rsidRPr="008E3AF9">
        <w:rPr>
          <w:rFonts w:ascii="Times New Roman" w:hAnsi="Times New Roman"/>
        </w:rPr>
        <w:t>The following represents general guidance.</w:t>
      </w:r>
    </w:p>
    <w:p w:rsidR="003066E5" w:rsidRPr="008E3AF9" w:rsidRDefault="003066E5" w:rsidP="00FE5783">
      <w:pPr>
        <w:spacing w:after="0" w:line="20" w:lineRule="atLeast"/>
        <w:rPr>
          <w:rFonts w:ascii="Times New Roman" w:hAnsi="Times New Roman"/>
          <w:b/>
          <w:bCs/>
        </w:rPr>
      </w:pPr>
    </w:p>
    <w:p w:rsidR="003066E5" w:rsidRPr="008E3AF9" w:rsidRDefault="003066E5" w:rsidP="00FE5783">
      <w:pPr>
        <w:spacing w:after="0" w:line="20" w:lineRule="atLeast"/>
        <w:rPr>
          <w:rFonts w:ascii="Times New Roman" w:hAnsi="Times New Roman"/>
          <w:b/>
          <w:bCs/>
        </w:rPr>
      </w:pPr>
      <w:r w:rsidRPr="008E3AF9">
        <w:rPr>
          <w:rFonts w:ascii="Times New Roman" w:hAnsi="Times New Roman"/>
        </w:rPr>
        <w:t>The budget is the financial plan for the project or program. It often includes both the sponsor</w:t>
      </w:r>
      <w:r w:rsidR="00C878AC">
        <w:rPr>
          <w:rFonts w:ascii="Times New Roman" w:hAnsi="Times New Roman"/>
        </w:rPr>
        <w:t>ed</w:t>
      </w:r>
      <w:r w:rsidRPr="008E3AF9">
        <w:rPr>
          <w:rFonts w:ascii="Times New Roman" w:hAnsi="Times New Roman"/>
        </w:rPr>
        <w:t xml:space="preserve"> and non-sponsor</w:t>
      </w:r>
      <w:r w:rsidR="00C878AC">
        <w:rPr>
          <w:rFonts w:ascii="Times New Roman" w:hAnsi="Times New Roman"/>
        </w:rPr>
        <w:t>ed</w:t>
      </w:r>
      <w:r w:rsidRPr="008E3AF9">
        <w:rPr>
          <w:rFonts w:ascii="Times New Roman" w:hAnsi="Times New Roman"/>
        </w:rPr>
        <w:t xml:space="preserve"> share of the total project cost.  Proposed project costs are comprised of allowable direct costs, indirect costs (also known as facilities and administrative or F&amp;A costs), and cost sharing (ONLY IF REQUIRED).  </w:t>
      </w:r>
      <w:r>
        <w:rPr>
          <w:rFonts w:ascii="Times New Roman" w:hAnsi="Times New Roman"/>
        </w:rPr>
        <w:t xml:space="preserve">Note, cost share expenditures must be allowable and incurred during the awarded period of performance.  </w:t>
      </w:r>
      <w:r w:rsidRPr="008E3AF9">
        <w:rPr>
          <w:rFonts w:ascii="Times New Roman" w:hAnsi="Times New Roman"/>
        </w:rPr>
        <w:t>Allowable costs are those that are reasonable and allocable to the sponsored project and allowable under University policies.</w:t>
      </w:r>
    </w:p>
    <w:p w:rsidR="003066E5" w:rsidRPr="008E3AF9" w:rsidRDefault="003066E5" w:rsidP="00FE5783">
      <w:pPr>
        <w:spacing w:after="0" w:line="20" w:lineRule="atLeast"/>
        <w:rPr>
          <w:rFonts w:ascii="Times New Roman" w:hAnsi="Times New Roman"/>
        </w:rPr>
      </w:pPr>
    </w:p>
    <w:p w:rsidR="003066E5" w:rsidRPr="008E3AF9" w:rsidRDefault="003066E5" w:rsidP="00FE5783">
      <w:pPr>
        <w:spacing w:after="0" w:line="20" w:lineRule="atLeast"/>
        <w:rPr>
          <w:rFonts w:ascii="Times New Roman" w:hAnsi="Times New Roman"/>
        </w:rPr>
      </w:pPr>
      <w:r w:rsidRPr="008E3AF9">
        <w:rPr>
          <w:rFonts w:ascii="Times New Roman" w:hAnsi="Times New Roman"/>
        </w:rPr>
        <w:t xml:space="preserve">For multi-year agreements, the budget should account for expenditures on a project budget year basis.  If cost sharing is included, each budget period should include columns for both Sponsor and University costs. Please note that cost share must be approved by the dean of the School/College who should identify the FOAP under her/his control that will be charged in case the project is funded. </w:t>
      </w:r>
    </w:p>
    <w:p w:rsidR="003066E5" w:rsidRPr="008E3AF9" w:rsidRDefault="003066E5" w:rsidP="00FE5783">
      <w:pPr>
        <w:spacing w:after="0" w:line="20" w:lineRule="atLeast"/>
        <w:rPr>
          <w:rFonts w:ascii="Times New Roman" w:hAnsi="Times New Roman"/>
        </w:rPr>
      </w:pPr>
    </w:p>
    <w:p w:rsidR="003066E5" w:rsidRPr="008E3AF9" w:rsidRDefault="003066E5" w:rsidP="00FE5783">
      <w:pPr>
        <w:spacing w:after="0" w:line="20" w:lineRule="atLeast"/>
        <w:rPr>
          <w:rFonts w:ascii="Times New Roman" w:hAnsi="Times New Roman"/>
          <w:b/>
          <w:bCs/>
        </w:rPr>
      </w:pPr>
      <w:r w:rsidRPr="008E3AF9">
        <w:rPr>
          <w:rFonts w:ascii="Times New Roman" w:hAnsi="Times New Roman"/>
        </w:rPr>
        <w:lastRenderedPageBreak/>
        <w:t>A budget narrative should be prepared to explain how the budgeted costs relate to the project.  The narrative should provide sufficient detail to allow the sponsor to determine whether the proposed costs are reasonable and appropriate.  Key elements to include in the narrative are:</w:t>
      </w:r>
    </w:p>
    <w:p w:rsidR="003066E5" w:rsidRDefault="003066E5" w:rsidP="007B49E4">
      <w:pPr>
        <w:numPr>
          <w:ilvl w:val="0"/>
          <w:numId w:val="16"/>
        </w:numPr>
        <w:tabs>
          <w:tab w:val="clear" w:pos="340"/>
          <w:tab w:val="num" w:pos="680"/>
        </w:tabs>
        <w:spacing w:after="0" w:line="20" w:lineRule="atLeast"/>
        <w:ind w:left="680"/>
        <w:rPr>
          <w:rFonts w:ascii="Times New Roman" w:hAnsi="Times New Roman"/>
          <w:b/>
          <w:bCs/>
        </w:rPr>
      </w:pPr>
      <w:r w:rsidRPr="008E3AF9">
        <w:rPr>
          <w:rFonts w:ascii="Times New Roman" w:hAnsi="Times New Roman"/>
        </w:rPr>
        <w:t>A detailed justification of the expense or service;</w:t>
      </w:r>
    </w:p>
    <w:p w:rsidR="003066E5" w:rsidRDefault="003066E5" w:rsidP="007B49E4">
      <w:pPr>
        <w:numPr>
          <w:ilvl w:val="0"/>
          <w:numId w:val="16"/>
        </w:numPr>
        <w:tabs>
          <w:tab w:val="clear" w:pos="340"/>
          <w:tab w:val="num" w:pos="680"/>
        </w:tabs>
        <w:spacing w:before="100" w:beforeAutospacing="1" w:after="100" w:afterAutospacing="1" w:line="20" w:lineRule="atLeast"/>
        <w:ind w:left="680"/>
        <w:rPr>
          <w:rFonts w:ascii="Times New Roman" w:hAnsi="Times New Roman"/>
          <w:b/>
          <w:bCs/>
        </w:rPr>
      </w:pPr>
      <w:r w:rsidRPr="008E3AF9">
        <w:rPr>
          <w:rFonts w:ascii="Times New Roman" w:hAnsi="Times New Roman"/>
        </w:rPr>
        <w:t>How the expense relates to and benefits the project;</w:t>
      </w:r>
    </w:p>
    <w:p w:rsidR="003066E5" w:rsidRDefault="003066E5" w:rsidP="007B49E4">
      <w:pPr>
        <w:numPr>
          <w:ilvl w:val="0"/>
          <w:numId w:val="16"/>
        </w:numPr>
        <w:tabs>
          <w:tab w:val="clear" w:pos="340"/>
          <w:tab w:val="num" w:pos="680"/>
        </w:tabs>
        <w:spacing w:before="100" w:beforeAutospacing="1" w:after="100" w:afterAutospacing="1" w:line="20" w:lineRule="atLeast"/>
        <w:ind w:left="680"/>
        <w:rPr>
          <w:rFonts w:ascii="Times New Roman" w:hAnsi="Times New Roman"/>
          <w:b/>
          <w:bCs/>
        </w:rPr>
      </w:pPr>
      <w:r w:rsidRPr="008E3AF9">
        <w:rPr>
          <w:rFonts w:ascii="Times New Roman" w:hAnsi="Times New Roman"/>
        </w:rPr>
        <w:t>The anticipated cost;</w:t>
      </w:r>
    </w:p>
    <w:p w:rsidR="003066E5" w:rsidRDefault="003066E5" w:rsidP="007B49E4">
      <w:pPr>
        <w:numPr>
          <w:ilvl w:val="0"/>
          <w:numId w:val="16"/>
        </w:numPr>
        <w:tabs>
          <w:tab w:val="clear" w:pos="340"/>
          <w:tab w:val="num" w:pos="680"/>
        </w:tabs>
        <w:spacing w:before="100" w:beforeAutospacing="1" w:after="100" w:afterAutospacing="1" w:line="20" w:lineRule="atLeast"/>
        <w:ind w:left="680"/>
        <w:rPr>
          <w:rFonts w:ascii="Times New Roman" w:hAnsi="Times New Roman"/>
          <w:b/>
          <w:bCs/>
        </w:rPr>
      </w:pPr>
      <w:r w:rsidRPr="008E3AF9">
        <w:rPr>
          <w:rFonts w:ascii="Times New Roman" w:hAnsi="Times New Roman"/>
        </w:rPr>
        <w:t>The time period in which it will be utilized;</w:t>
      </w:r>
    </w:p>
    <w:p w:rsidR="003066E5" w:rsidRDefault="003066E5" w:rsidP="007B49E4">
      <w:pPr>
        <w:numPr>
          <w:ilvl w:val="0"/>
          <w:numId w:val="16"/>
        </w:numPr>
        <w:tabs>
          <w:tab w:val="clear" w:pos="340"/>
          <w:tab w:val="num" w:pos="680"/>
        </w:tabs>
        <w:spacing w:after="0" w:line="20" w:lineRule="atLeast"/>
        <w:ind w:left="680"/>
        <w:rPr>
          <w:rFonts w:ascii="Times New Roman" w:hAnsi="Times New Roman"/>
          <w:b/>
          <w:bCs/>
        </w:rPr>
      </w:pPr>
      <w:r w:rsidRPr="008E3AF9">
        <w:rPr>
          <w:rFonts w:ascii="Times New Roman" w:hAnsi="Times New Roman"/>
        </w:rPr>
        <w:t>Other information that will aid the sponsor in evaluating the proposed item.</w:t>
      </w:r>
    </w:p>
    <w:p w:rsidR="003066E5" w:rsidRDefault="003066E5" w:rsidP="00FE5783">
      <w:pPr>
        <w:spacing w:after="0" w:line="20" w:lineRule="atLeast"/>
        <w:rPr>
          <w:rFonts w:ascii="Times New Roman" w:hAnsi="Times New Roman"/>
        </w:rPr>
      </w:pPr>
    </w:p>
    <w:p w:rsidR="003066E5" w:rsidRPr="008E3AF9" w:rsidRDefault="003066E5" w:rsidP="00FE5783">
      <w:pPr>
        <w:spacing w:after="0" w:line="20" w:lineRule="atLeast"/>
        <w:rPr>
          <w:rFonts w:ascii="Times New Roman" w:hAnsi="Times New Roman"/>
          <w:b/>
          <w:bCs/>
        </w:rPr>
      </w:pPr>
      <w:r>
        <w:rPr>
          <w:rFonts w:ascii="Times New Roman" w:hAnsi="Times New Roman"/>
        </w:rPr>
        <w:t>Final review of all budgets with external reporting requirements is the responsibility of the OCG.</w:t>
      </w:r>
    </w:p>
    <w:p w:rsidR="003066E5" w:rsidRPr="008E3AF9" w:rsidRDefault="003066E5" w:rsidP="00FE5783">
      <w:pPr>
        <w:spacing w:after="0" w:line="20" w:lineRule="atLeast"/>
        <w:rPr>
          <w:rFonts w:ascii="Times New Roman" w:hAnsi="Times New Roman"/>
          <w:b/>
        </w:rPr>
      </w:pPr>
    </w:p>
    <w:p w:rsidR="003066E5" w:rsidRPr="008E3AF9" w:rsidRDefault="003066E5" w:rsidP="00FE5783">
      <w:pPr>
        <w:pStyle w:val="Heading2"/>
        <w:spacing w:before="0" w:beforeAutospacing="0" w:after="0" w:afterAutospacing="0" w:line="20" w:lineRule="atLeast"/>
        <w:ind w:firstLine="340"/>
        <w:rPr>
          <w:rStyle w:val="Strong"/>
          <w:rFonts w:ascii="Times New Roman" w:hAnsi="Times New Roman"/>
          <w:b/>
          <w:i/>
          <w:color w:val="auto"/>
          <w:sz w:val="22"/>
          <w:szCs w:val="22"/>
        </w:rPr>
      </w:pPr>
      <w:bookmarkStart w:id="12" w:name="_Toc405369372"/>
      <w:r w:rsidRPr="008E3AF9">
        <w:rPr>
          <w:rStyle w:val="Strong"/>
          <w:rFonts w:ascii="Times New Roman" w:hAnsi="Times New Roman"/>
          <w:b/>
          <w:i/>
          <w:color w:val="auto"/>
          <w:sz w:val="22"/>
          <w:szCs w:val="22"/>
        </w:rPr>
        <w:t>Direct Costs</w:t>
      </w:r>
      <w:bookmarkEnd w:id="12"/>
      <w:r w:rsidRPr="008E3AF9">
        <w:rPr>
          <w:rStyle w:val="Strong"/>
          <w:rFonts w:ascii="Times New Roman" w:hAnsi="Times New Roman"/>
          <w:b/>
          <w:i/>
          <w:color w:val="auto"/>
          <w:sz w:val="22"/>
          <w:szCs w:val="22"/>
        </w:rPr>
        <w:t xml:space="preserve"> </w:t>
      </w:r>
    </w:p>
    <w:p w:rsidR="003066E5" w:rsidRPr="008E3AF9" w:rsidRDefault="003066E5" w:rsidP="00FE5783">
      <w:pPr>
        <w:spacing w:after="0" w:line="20" w:lineRule="atLeast"/>
        <w:ind w:left="360"/>
        <w:rPr>
          <w:rFonts w:ascii="Times New Roman" w:hAnsi="Times New Roman"/>
        </w:rPr>
      </w:pPr>
      <w:r w:rsidRPr="008E3AF9">
        <w:rPr>
          <w:rFonts w:ascii="Times New Roman" w:hAnsi="Times New Roman"/>
        </w:rPr>
        <w:t>Direct Costs are directly attributable and chargeable to a specific sponsored project or activity.  Direct costs must be allowable by the sponsor and the University. There are certain categories of costs that are generally not allowed to be direct</w:t>
      </w:r>
      <w:r>
        <w:rPr>
          <w:rFonts w:ascii="Times New Roman" w:hAnsi="Times New Roman"/>
        </w:rPr>
        <w:t>ly</w:t>
      </w:r>
      <w:r w:rsidRPr="008E3AF9">
        <w:rPr>
          <w:rFonts w:ascii="Times New Roman" w:hAnsi="Times New Roman"/>
        </w:rPr>
        <w:t xml:space="preserve"> charged to sponsored projects. These include: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Administrative and Clerical Effort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Office Supplies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Local Telephone Costs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Cell Phones and Pagers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Postage Costs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Photocopies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 xml:space="preserve">Memberships </w:t>
      </w:r>
    </w:p>
    <w:p w:rsidR="003066E5" w:rsidRDefault="003066E5" w:rsidP="007B49E4">
      <w:pPr>
        <w:numPr>
          <w:ilvl w:val="0"/>
          <w:numId w:val="26"/>
        </w:numPr>
        <w:spacing w:after="0" w:line="20" w:lineRule="atLeast"/>
        <w:ind w:left="1080"/>
        <w:rPr>
          <w:rFonts w:ascii="Times New Roman" w:hAnsi="Times New Roman"/>
        </w:rPr>
      </w:pPr>
      <w:r w:rsidRPr="008E3AF9">
        <w:rPr>
          <w:rFonts w:ascii="Times New Roman" w:hAnsi="Times New Roman"/>
          <w:bCs/>
        </w:rPr>
        <w:t>General</w:t>
      </w:r>
      <w:r w:rsidRPr="008E3AF9">
        <w:rPr>
          <w:rFonts w:ascii="Cambria" w:hAnsi="Cambria"/>
        </w:rPr>
        <w:t>‐</w:t>
      </w:r>
      <w:r w:rsidRPr="008E3AF9">
        <w:rPr>
          <w:rFonts w:ascii="Times New Roman" w:hAnsi="Times New Roman"/>
          <w:bCs/>
        </w:rPr>
        <w:t>purpose computers (</w:t>
      </w:r>
      <w:r w:rsidRPr="008E3AF9">
        <w:rPr>
          <w:rFonts w:ascii="Times New Roman" w:hAnsi="Times New Roman"/>
        </w:rPr>
        <w:t>especially laptops) can be used to support a variety of activities and are rarely dedicated to one specific purpose. As a result, general</w:t>
      </w:r>
      <w:r w:rsidRPr="008E3AF9">
        <w:rPr>
          <w:rFonts w:ascii="Cambria" w:hAnsi="Cambria"/>
        </w:rPr>
        <w:t>‐</w:t>
      </w:r>
      <w:r w:rsidRPr="008E3AF9">
        <w:rPr>
          <w:rFonts w:ascii="Times New Roman" w:hAnsi="Times New Roman"/>
        </w:rPr>
        <w:t>purpose computers and laptops are typically F&amp;A costs and are seldom proposed in budgets or directly charged to awards.</w:t>
      </w:r>
    </w:p>
    <w:p w:rsidR="003066E5" w:rsidRPr="008E3AF9" w:rsidRDefault="003066E5" w:rsidP="00FE5783">
      <w:pPr>
        <w:spacing w:after="0" w:line="20" w:lineRule="atLeast"/>
        <w:rPr>
          <w:rFonts w:ascii="Times New Roman" w:hAnsi="Times New Roman"/>
        </w:rPr>
      </w:pP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3" w:name="_Toc405369373"/>
      <w:r w:rsidRPr="008E3AF9">
        <w:rPr>
          <w:rStyle w:val="Strong"/>
          <w:rFonts w:ascii="Times New Roman" w:hAnsi="Times New Roman"/>
          <w:b/>
          <w:i/>
          <w:color w:val="auto"/>
          <w:sz w:val="22"/>
          <w:szCs w:val="22"/>
        </w:rPr>
        <w:t>Personnel Expenses</w:t>
      </w:r>
      <w:bookmarkEnd w:id="13"/>
      <w:r w:rsidRPr="008E3AF9">
        <w:rPr>
          <w:rStyle w:val="Strong"/>
          <w:rFonts w:ascii="Times New Roman" w:hAnsi="Times New Roman"/>
          <w:b/>
          <w:i/>
          <w:color w:val="auto"/>
          <w:sz w:val="22"/>
          <w:szCs w:val="22"/>
        </w:rPr>
        <w:t xml:space="preserve"> </w:t>
      </w:r>
    </w:p>
    <w:p w:rsidR="003066E5" w:rsidRPr="008E3AF9" w:rsidRDefault="003066E5" w:rsidP="00FE5783">
      <w:pPr>
        <w:spacing w:after="0" w:line="20" w:lineRule="atLeast"/>
        <w:ind w:firstLine="690"/>
        <w:rPr>
          <w:rFonts w:ascii="Times New Roman" w:hAnsi="Times New Roman"/>
        </w:rPr>
      </w:pPr>
      <w:r w:rsidRPr="008E3AF9">
        <w:rPr>
          <w:rFonts w:ascii="Times New Roman" w:hAnsi="Times New Roman"/>
        </w:rPr>
        <w:t xml:space="preserve">Salaries: </w:t>
      </w:r>
    </w:p>
    <w:p w:rsidR="003066E5" w:rsidRDefault="003066E5" w:rsidP="007B49E4">
      <w:pPr>
        <w:numPr>
          <w:ilvl w:val="0"/>
          <w:numId w:val="17"/>
        </w:numPr>
        <w:tabs>
          <w:tab w:val="clear" w:pos="340"/>
          <w:tab w:val="num" w:pos="1030"/>
        </w:tabs>
        <w:spacing w:after="0" w:line="20" w:lineRule="atLeast"/>
        <w:ind w:left="1030"/>
        <w:rPr>
          <w:rFonts w:ascii="Times New Roman" w:hAnsi="Times New Roman"/>
          <w:b/>
          <w:bCs/>
        </w:rPr>
      </w:pPr>
      <w:r w:rsidRPr="008E3AF9">
        <w:rPr>
          <w:rFonts w:ascii="Times New Roman" w:hAnsi="Times New Roman"/>
        </w:rPr>
        <w:t xml:space="preserve">The salary category should include the names of all individuals who will be involved in the project, if known, otherwise use To Be Named (TBN) and job classification. Dependent upon specific sponsor guidelines, either the percent effort or person months that will be applied to the project should also be shown. </w:t>
      </w:r>
    </w:p>
    <w:p w:rsidR="003066E5" w:rsidRDefault="003066E5" w:rsidP="007B49E4">
      <w:pPr>
        <w:numPr>
          <w:ilvl w:val="0"/>
          <w:numId w:val="12"/>
        </w:numPr>
        <w:spacing w:after="0" w:line="20" w:lineRule="atLeast"/>
        <w:ind w:left="1051"/>
        <w:rPr>
          <w:rFonts w:ascii="Times New Roman" w:hAnsi="Times New Roman"/>
          <w:b/>
          <w:bCs/>
        </w:rPr>
      </w:pPr>
      <w:r w:rsidRPr="008E3AF9">
        <w:rPr>
          <w:rFonts w:ascii="Times New Roman" w:hAnsi="Times New Roman"/>
        </w:rPr>
        <w:t xml:space="preserve">Guidelines should be consulted for </w:t>
      </w:r>
      <w:r>
        <w:rPr>
          <w:rFonts w:ascii="Times New Roman" w:hAnsi="Times New Roman"/>
        </w:rPr>
        <w:t xml:space="preserve">special restrictions such as </w:t>
      </w:r>
      <w:r w:rsidRPr="008E3AF9">
        <w:rPr>
          <w:rFonts w:ascii="Times New Roman" w:hAnsi="Times New Roman"/>
        </w:rPr>
        <w:t>agency-specific salary caps</w:t>
      </w:r>
      <w:r>
        <w:rPr>
          <w:rFonts w:ascii="Times New Roman" w:hAnsi="Times New Roman"/>
        </w:rPr>
        <w:t xml:space="preserve"> and/or person month limits supported by the project</w:t>
      </w:r>
      <w:r w:rsidRPr="008E3AF9">
        <w:rPr>
          <w:rFonts w:ascii="Times New Roman" w:hAnsi="Times New Roman"/>
        </w:rPr>
        <w:t xml:space="preserve">. </w:t>
      </w:r>
    </w:p>
    <w:p w:rsidR="00C73B87" w:rsidRPr="00C73B87" w:rsidRDefault="003066E5" w:rsidP="007B49E4">
      <w:pPr>
        <w:numPr>
          <w:ilvl w:val="0"/>
          <w:numId w:val="12"/>
        </w:numPr>
        <w:spacing w:after="0" w:line="20" w:lineRule="atLeast"/>
        <w:ind w:left="1051"/>
        <w:rPr>
          <w:rFonts w:ascii="Times New Roman" w:hAnsi="Times New Roman"/>
          <w:b/>
          <w:bCs/>
        </w:rPr>
      </w:pPr>
      <w:r w:rsidRPr="008E3AF9">
        <w:rPr>
          <w:rFonts w:ascii="Times New Roman" w:hAnsi="Times New Roman"/>
        </w:rPr>
        <w:t>The salaries of administrative and clerical support staff are normally classified as indirect costs and are generally not allowed to be budgeted as direct project costs.  However, it may be appropriate to charge these costs to a major project where administrative and clerical services can be explicitly required to support a major project, and the time and effort of the staff involved can be specifically identified with the sponsored project.  </w:t>
      </w:r>
    </w:p>
    <w:p w:rsidR="003066E5" w:rsidRPr="00C73B87" w:rsidRDefault="003066E5" w:rsidP="007B49E4">
      <w:pPr>
        <w:numPr>
          <w:ilvl w:val="0"/>
          <w:numId w:val="12"/>
        </w:numPr>
        <w:spacing w:after="0" w:line="20" w:lineRule="atLeast"/>
        <w:ind w:left="1051"/>
        <w:rPr>
          <w:rFonts w:ascii="Times New Roman" w:hAnsi="Times New Roman"/>
          <w:b/>
          <w:bCs/>
        </w:rPr>
      </w:pPr>
      <w:r w:rsidRPr="008E3AF9">
        <w:rPr>
          <w:rFonts w:ascii="Times New Roman" w:hAnsi="Times New Roman"/>
        </w:rPr>
        <w:t xml:space="preserve">Support for administrative and clerical staff should be detailed in the budget narrative to provide the sponsor with adequate information to evaluate whether these costs are allocable to the project. </w:t>
      </w:r>
    </w:p>
    <w:p w:rsidR="00C73B87" w:rsidRPr="00637560" w:rsidRDefault="00C73B87" w:rsidP="007B49E4">
      <w:pPr>
        <w:numPr>
          <w:ilvl w:val="0"/>
          <w:numId w:val="12"/>
        </w:numPr>
        <w:spacing w:after="0" w:line="20" w:lineRule="atLeast"/>
        <w:ind w:left="1051"/>
        <w:rPr>
          <w:rFonts w:ascii="Times New Roman" w:hAnsi="Times New Roman"/>
          <w:b/>
          <w:bCs/>
        </w:rPr>
      </w:pPr>
      <w:r w:rsidRPr="00637560">
        <w:rPr>
          <w:rFonts w:ascii="Times New Roman" w:hAnsi="Times New Roman"/>
        </w:rPr>
        <w:t>Summer salary for faculty can be charged to grants.  The maximum amount of time that faculty can be paid during the summer on a federal grant is 2</w:t>
      </w:r>
      <w:r w:rsidR="00DC02D9" w:rsidRPr="00637560">
        <w:rPr>
          <w:rFonts w:ascii="Times New Roman" w:hAnsi="Times New Roman"/>
        </w:rPr>
        <w:t xml:space="preserve"> months; 2.5</w:t>
      </w:r>
      <w:r w:rsidRPr="00637560">
        <w:rPr>
          <w:rFonts w:ascii="Times New Roman" w:hAnsi="Times New Roman"/>
        </w:rPr>
        <w:t xml:space="preserve"> months</w:t>
      </w:r>
      <w:r w:rsidR="00DC02D9" w:rsidRPr="00637560">
        <w:rPr>
          <w:rFonts w:ascii="Times New Roman" w:hAnsi="Times New Roman"/>
        </w:rPr>
        <w:t xml:space="preserve"> for NIH grants</w:t>
      </w:r>
      <w:r w:rsidRPr="00637560">
        <w:rPr>
          <w:rFonts w:ascii="Times New Roman" w:hAnsi="Times New Roman"/>
        </w:rPr>
        <w:t>.</w:t>
      </w:r>
    </w:p>
    <w:p w:rsidR="003066E5" w:rsidRDefault="003066E5"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C73B87" w:rsidRPr="00DC02D9" w:rsidRDefault="00C73B87" w:rsidP="00DC02D9">
      <w:pPr>
        <w:spacing w:after="0" w:line="20" w:lineRule="atLeast"/>
        <w:ind w:left="360"/>
        <w:rPr>
          <w:rFonts w:ascii="Times New Roman" w:hAnsi="Times New Roman"/>
          <w:b/>
          <w:bCs/>
        </w:rPr>
      </w:pPr>
    </w:p>
    <w:p w:rsidR="003066E5" w:rsidRPr="008E3AF9" w:rsidRDefault="003066E5" w:rsidP="00FE5783">
      <w:pPr>
        <w:spacing w:after="0" w:line="20" w:lineRule="atLeast"/>
        <w:ind w:firstLine="690"/>
        <w:rPr>
          <w:rFonts w:ascii="Times New Roman" w:hAnsi="Times New Roman"/>
          <w:bCs/>
        </w:rPr>
      </w:pPr>
      <w:r w:rsidRPr="008E3AF9">
        <w:rPr>
          <w:rFonts w:ascii="Times New Roman" w:hAnsi="Times New Roman"/>
          <w:bCs/>
        </w:rPr>
        <w:lastRenderedPageBreak/>
        <w:t xml:space="preserve">Fringe Benefits: </w:t>
      </w:r>
    </w:p>
    <w:p w:rsidR="003066E5" w:rsidRDefault="003066E5" w:rsidP="007B49E4">
      <w:pPr>
        <w:numPr>
          <w:ilvl w:val="0"/>
          <w:numId w:val="12"/>
        </w:numPr>
        <w:spacing w:after="0" w:line="20" w:lineRule="atLeast"/>
        <w:ind w:left="1051"/>
        <w:rPr>
          <w:rFonts w:ascii="Times New Roman" w:hAnsi="Times New Roman"/>
        </w:rPr>
      </w:pPr>
      <w:r w:rsidRPr="008E3AF9">
        <w:rPr>
          <w:rFonts w:ascii="Times New Roman" w:hAnsi="Times New Roman"/>
        </w:rPr>
        <w:t xml:space="preserve">Fringe benefits are charged as direct costs to the project.  The most current USF fringe benefit rates should be applied to all </w:t>
      </w:r>
      <w:hyperlink r:id="rId12" w:history="1">
        <w:r w:rsidRPr="008E3AF9">
          <w:rPr>
            <w:rFonts w:ascii="Times New Roman" w:hAnsi="Times New Roman"/>
          </w:rPr>
          <w:t>USF faculty, staff and student salaries.</w:t>
        </w:r>
      </w:hyperlink>
      <w:r w:rsidRPr="008E3AF9">
        <w:rPr>
          <w:rFonts w:ascii="Times New Roman" w:hAnsi="Times New Roman"/>
        </w:rPr>
        <w:t xml:space="preserve"> Current rates are available from OCG.</w:t>
      </w:r>
    </w:p>
    <w:p w:rsidR="003066E5" w:rsidRDefault="003066E5" w:rsidP="007B49E4">
      <w:pPr>
        <w:numPr>
          <w:ilvl w:val="0"/>
          <w:numId w:val="12"/>
        </w:numPr>
        <w:spacing w:after="0" w:line="20" w:lineRule="atLeast"/>
        <w:ind w:left="1051"/>
        <w:rPr>
          <w:rFonts w:ascii="Times New Roman" w:hAnsi="Times New Roman"/>
        </w:rPr>
      </w:pPr>
      <w:r w:rsidRPr="008E3AF9">
        <w:rPr>
          <w:rFonts w:ascii="Times New Roman" w:hAnsi="Times New Roman"/>
        </w:rPr>
        <w:t>Fringe benefits cover the costs for insurance (health, unemployment, life, and long-term disability), FICA, work</w:t>
      </w:r>
      <w:r>
        <w:rPr>
          <w:rFonts w:ascii="Times New Roman" w:hAnsi="Times New Roman"/>
        </w:rPr>
        <w:t>er</w:t>
      </w:r>
      <w:r w:rsidRPr="008E3AF9">
        <w:rPr>
          <w:rFonts w:ascii="Times New Roman" w:hAnsi="Times New Roman"/>
        </w:rPr>
        <w:t xml:space="preserve">'s compensation, pension, and scholarships for employee dependents. </w:t>
      </w:r>
    </w:p>
    <w:p w:rsidR="003066E5" w:rsidRDefault="003066E5" w:rsidP="007B49E4">
      <w:pPr>
        <w:numPr>
          <w:ilvl w:val="0"/>
          <w:numId w:val="12"/>
        </w:numPr>
        <w:spacing w:after="0" w:line="20" w:lineRule="atLeast"/>
        <w:ind w:left="1051"/>
        <w:rPr>
          <w:rFonts w:ascii="Times New Roman" w:hAnsi="Times New Roman"/>
        </w:rPr>
      </w:pPr>
      <w:r>
        <w:rPr>
          <w:rFonts w:ascii="Times New Roman" w:hAnsi="Times New Roman"/>
        </w:rPr>
        <w:t>Fringe benefits are a real cost to the university and cannot be waived.</w:t>
      </w:r>
    </w:p>
    <w:p w:rsidR="003066E5" w:rsidRDefault="003066E5" w:rsidP="007B49E4">
      <w:pPr>
        <w:numPr>
          <w:ilvl w:val="0"/>
          <w:numId w:val="12"/>
        </w:numPr>
        <w:spacing w:after="0" w:line="20" w:lineRule="atLeast"/>
        <w:ind w:left="1051"/>
        <w:rPr>
          <w:rFonts w:ascii="Times New Roman" w:hAnsi="Times New Roman"/>
        </w:rPr>
      </w:pPr>
      <w:r w:rsidRPr="008E3AF9">
        <w:rPr>
          <w:rFonts w:ascii="Times New Roman" w:hAnsi="Times New Roman"/>
        </w:rPr>
        <w:t>USF is required to use the fringe benefit rate that is negotiated annually with the federal government. Rates usually change each July 1</w:t>
      </w:r>
      <w:r w:rsidR="00C878AC">
        <w:rPr>
          <w:rFonts w:ascii="Times New Roman" w:hAnsi="Times New Roman"/>
        </w:rPr>
        <w:t>.</w:t>
      </w:r>
      <w:r w:rsidRPr="008E3AF9">
        <w:rPr>
          <w:rFonts w:ascii="Times New Roman" w:hAnsi="Times New Roman"/>
        </w:rPr>
        <w:t xml:space="preserve"> Please call the OCG or go to the OCG website to obtain the current rate. </w:t>
      </w:r>
    </w:p>
    <w:p w:rsidR="003066E5" w:rsidRPr="008E3AF9" w:rsidRDefault="003066E5" w:rsidP="00FE5783">
      <w:pPr>
        <w:pStyle w:val="ListParagraph"/>
        <w:spacing w:after="0" w:line="20" w:lineRule="atLeast"/>
        <w:ind w:left="2160"/>
        <w:rPr>
          <w:rFonts w:ascii="Times New Roman" w:hAnsi="Times New Roman"/>
          <w:b/>
        </w:rPr>
      </w:pP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4" w:name="_Toc405369374"/>
      <w:r w:rsidRPr="008E3AF9">
        <w:rPr>
          <w:rStyle w:val="Strong"/>
          <w:rFonts w:ascii="Times New Roman" w:hAnsi="Times New Roman"/>
          <w:b/>
          <w:i/>
          <w:color w:val="auto"/>
          <w:sz w:val="22"/>
          <w:szCs w:val="22"/>
        </w:rPr>
        <w:t>Non-Personnel Expenses</w:t>
      </w:r>
      <w:bookmarkEnd w:id="14"/>
    </w:p>
    <w:p w:rsidR="003066E5" w:rsidRPr="008E3AF9" w:rsidRDefault="003066E5" w:rsidP="00FE5783">
      <w:pPr>
        <w:spacing w:after="0" w:line="20" w:lineRule="atLeast"/>
        <w:ind w:firstLine="690"/>
        <w:rPr>
          <w:rFonts w:ascii="Times New Roman" w:hAnsi="Times New Roman"/>
          <w:bCs/>
        </w:rPr>
      </w:pPr>
      <w:r w:rsidRPr="008E3AF9">
        <w:rPr>
          <w:rFonts w:ascii="Times New Roman" w:hAnsi="Times New Roman"/>
          <w:bCs/>
        </w:rPr>
        <w:t>Consumable Materials and Supplies:</w:t>
      </w:r>
    </w:p>
    <w:p w:rsidR="00117AC7" w:rsidRDefault="003066E5" w:rsidP="00117AC7">
      <w:pPr>
        <w:pStyle w:val="NormalWeb"/>
        <w:numPr>
          <w:ilvl w:val="0"/>
          <w:numId w:val="18"/>
        </w:numPr>
        <w:tabs>
          <w:tab w:val="clear" w:pos="340"/>
        </w:tabs>
        <w:spacing w:before="0" w:beforeAutospacing="0" w:after="0" w:afterAutospacing="0" w:line="20" w:lineRule="atLeast"/>
        <w:ind w:left="1066"/>
        <w:rPr>
          <w:sz w:val="22"/>
          <w:szCs w:val="22"/>
        </w:rPr>
      </w:pPr>
      <w:r w:rsidRPr="008E3AF9">
        <w:rPr>
          <w:sz w:val="22"/>
          <w:szCs w:val="22"/>
        </w:rPr>
        <w:t xml:space="preserve">Consumable supplies (with life expectancy of one year or less) are items used exclusively in support of project objectives. </w:t>
      </w:r>
    </w:p>
    <w:p w:rsidR="00117AC7" w:rsidRDefault="003066E5" w:rsidP="00117AC7">
      <w:pPr>
        <w:pStyle w:val="NormalWeb"/>
        <w:numPr>
          <w:ilvl w:val="0"/>
          <w:numId w:val="18"/>
        </w:numPr>
        <w:tabs>
          <w:tab w:val="clear" w:pos="340"/>
        </w:tabs>
        <w:spacing w:before="0" w:beforeAutospacing="0" w:after="0" w:afterAutospacing="0" w:line="20" w:lineRule="atLeast"/>
        <w:ind w:left="1066"/>
        <w:rPr>
          <w:sz w:val="22"/>
          <w:szCs w:val="22"/>
        </w:rPr>
      </w:pPr>
      <w:r w:rsidRPr="00117AC7">
        <w:rPr>
          <w:sz w:val="22"/>
          <w:szCs w:val="22"/>
        </w:rPr>
        <w:t xml:space="preserve">It is generally acceptable to sponsors to provide a breakdown of materials and supplies by broad categories as opposed to the detailed listing of individual items. </w:t>
      </w:r>
    </w:p>
    <w:p w:rsidR="003066E5" w:rsidRPr="00117AC7" w:rsidRDefault="003066E5" w:rsidP="00117AC7">
      <w:pPr>
        <w:pStyle w:val="NormalWeb"/>
        <w:numPr>
          <w:ilvl w:val="0"/>
          <w:numId w:val="18"/>
        </w:numPr>
        <w:tabs>
          <w:tab w:val="clear" w:pos="340"/>
        </w:tabs>
        <w:spacing w:before="0" w:beforeAutospacing="0" w:after="0" w:afterAutospacing="0" w:line="20" w:lineRule="atLeast"/>
        <w:ind w:left="1066"/>
        <w:rPr>
          <w:sz w:val="22"/>
          <w:szCs w:val="22"/>
        </w:rPr>
      </w:pPr>
      <w:r w:rsidRPr="00117AC7">
        <w:rPr>
          <w:sz w:val="22"/>
          <w:szCs w:val="22"/>
        </w:rPr>
        <w:t xml:space="preserve">When supply items are purchased to support multiple projects, they are considered to be indirect costs and cannot be charged directly to sponsored project funds. Such items often include University stationery, toner, pens, tablets, file folders, staples, paper clips, etc. (office supplies).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spacing w:after="0" w:line="20" w:lineRule="atLeast"/>
        <w:ind w:firstLine="690"/>
        <w:rPr>
          <w:rFonts w:ascii="Times New Roman" w:hAnsi="Times New Roman"/>
          <w:bCs/>
        </w:rPr>
      </w:pPr>
      <w:r w:rsidRPr="008E3AF9">
        <w:rPr>
          <w:rFonts w:ascii="Times New Roman" w:hAnsi="Times New Roman"/>
          <w:bCs/>
        </w:rPr>
        <w:t>Travel:</w:t>
      </w:r>
    </w:p>
    <w:p w:rsidR="003066E5" w:rsidRDefault="003066E5" w:rsidP="007B49E4">
      <w:pPr>
        <w:pStyle w:val="NormalWeb"/>
        <w:numPr>
          <w:ilvl w:val="0"/>
          <w:numId w:val="19"/>
        </w:numPr>
        <w:tabs>
          <w:tab w:val="clear" w:pos="340"/>
        </w:tabs>
        <w:spacing w:before="0" w:beforeAutospacing="0" w:after="0" w:afterAutospacing="0" w:line="20" w:lineRule="atLeast"/>
        <w:ind w:left="1040"/>
        <w:rPr>
          <w:sz w:val="22"/>
          <w:szCs w:val="22"/>
        </w:rPr>
      </w:pPr>
      <w:r w:rsidRPr="008E3AF9">
        <w:rPr>
          <w:sz w:val="22"/>
          <w:szCs w:val="22"/>
        </w:rPr>
        <w:t xml:space="preserve">Costs for travel, lodging and subsistence may be charged on: a) an actual cost basis or b) a per diem or mileage basis.  </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 xml:space="preserve">Charges incurred by employees for travel, lodging and other subsistence should be reasonable and allowable only to the extent of </w:t>
      </w:r>
      <w:r>
        <w:rPr>
          <w:sz w:val="22"/>
          <w:szCs w:val="22"/>
        </w:rPr>
        <w:t xml:space="preserve">sponsor and </w:t>
      </w:r>
      <w:r w:rsidRPr="008E3AF9">
        <w:rPr>
          <w:sz w:val="22"/>
          <w:szCs w:val="22"/>
        </w:rPr>
        <w:t>University policy.</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Costs should be calculated using current University travel reimbursement rates</w:t>
      </w:r>
      <w:r>
        <w:rPr>
          <w:sz w:val="22"/>
          <w:szCs w:val="22"/>
        </w:rPr>
        <w:t>, unless sponsor specifies otherwise.</w:t>
      </w:r>
      <w:r w:rsidRPr="008E3AF9">
        <w:rPr>
          <w:sz w:val="22"/>
          <w:szCs w:val="22"/>
        </w:rPr>
        <w:t xml:space="preserve">  </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The narrative should provide information regarding destination and names of conferences, if known</w:t>
      </w:r>
      <w:r>
        <w:rPr>
          <w:sz w:val="22"/>
          <w:szCs w:val="22"/>
        </w:rPr>
        <w:t xml:space="preserve"> and appropriate</w:t>
      </w:r>
      <w:r w:rsidRPr="008E3AF9">
        <w:rPr>
          <w:sz w:val="22"/>
          <w:szCs w:val="22"/>
        </w:rPr>
        <w:t xml:space="preserve">, number of travelers, duration of travel and estimated total cost. </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Foreign and domestic travel should be itemized and justified separately;</w:t>
      </w:r>
    </w:p>
    <w:p w:rsidR="003066E5" w:rsidRDefault="003066E5" w:rsidP="007B49E4">
      <w:pPr>
        <w:pStyle w:val="NormalWeb"/>
        <w:numPr>
          <w:ilvl w:val="0"/>
          <w:numId w:val="19"/>
        </w:numPr>
        <w:tabs>
          <w:tab w:val="clear" w:pos="340"/>
          <w:tab w:val="num" w:pos="1040"/>
        </w:tabs>
        <w:spacing w:line="20" w:lineRule="atLeast"/>
        <w:ind w:left="1040"/>
        <w:rPr>
          <w:sz w:val="22"/>
          <w:szCs w:val="22"/>
        </w:rPr>
      </w:pPr>
      <w:r w:rsidRPr="008E3AF9">
        <w:rPr>
          <w:sz w:val="22"/>
          <w:szCs w:val="22"/>
        </w:rPr>
        <w:t>Foreign travel requires sponsor pre-approval. Government funding generally requires travel using United States companies or airlines.</w:t>
      </w:r>
    </w:p>
    <w:p w:rsidR="003066E5" w:rsidRDefault="003066E5" w:rsidP="007B49E4">
      <w:pPr>
        <w:pStyle w:val="NormalWeb"/>
        <w:numPr>
          <w:ilvl w:val="0"/>
          <w:numId w:val="19"/>
        </w:numPr>
        <w:tabs>
          <w:tab w:val="clear" w:pos="340"/>
          <w:tab w:val="num" w:pos="1040"/>
        </w:tabs>
        <w:spacing w:before="0" w:beforeAutospacing="0" w:after="0" w:afterAutospacing="0" w:line="20" w:lineRule="atLeast"/>
        <w:ind w:left="1040"/>
        <w:rPr>
          <w:sz w:val="22"/>
          <w:szCs w:val="22"/>
        </w:rPr>
      </w:pPr>
      <w:r w:rsidRPr="008E3AF9">
        <w:rPr>
          <w:sz w:val="22"/>
          <w:szCs w:val="22"/>
        </w:rPr>
        <w:t>Sponsor guidelines should be consulted to verify the allow</w:t>
      </w:r>
      <w:r>
        <w:rPr>
          <w:sz w:val="22"/>
          <w:szCs w:val="22"/>
        </w:rPr>
        <w:t>ed</w:t>
      </w:r>
      <w:r w:rsidRPr="008E3AF9">
        <w:rPr>
          <w:sz w:val="22"/>
          <w:szCs w:val="22"/>
        </w:rPr>
        <w:t xml:space="preserve"> travel costs.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ind w:left="360" w:firstLine="340"/>
        <w:rPr>
          <w:b/>
          <w:sz w:val="22"/>
          <w:szCs w:val="22"/>
        </w:rPr>
      </w:pPr>
      <w:r w:rsidRPr="008E3AF9">
        <w:rPr>
          <w:rStyle w:val="Strong"/>
          <w:b w:val="0"/>
          <w:sz w:val="22"/>
          <w:szCs w:val="22"/>
        </w:rPr>
        <w:t xml:space="preserve">Equipment:  </w:t>
      </w:r>
    </w:p>
    <w:p w:rsidR="003066E5" w:rsidRDefault="003066E5" w:rsidP="007B49E4">
      <w:pPr>
        <w:pStyle w:val="NormalWeb"/>
        <w:numPr>
          <w:ilvl w:val="0"/>
          <w:numId w:val="20"/>
        </w:numPr>
        <w:tabs>
          <w:tab w:val="clear" w:pos="340"/>
        </w:tabs>
        <w:spacing w:before="0" w:beforeAutospacing="0" w:after="0" w:afterAutospacing="0" w:line="20" w:lineRule="atLeast"/>
        <w:ind w:left="1040"/>
        <w:rPr>
          <w:sz w:val="22"/>
          <w:szCs w:val="22"/>
        </w:rPr>
      </w:pPr>
      <w:r w:rsidRPr="008E3AF9">
        <w:rPr>
          <w:sz w:val="22"/>
          <w:szCs w:val="22"/>
        </w:rPr>
        <w:t xml:space="preserve">Major items of equipment proposed for acquisition should be itemized by descriptive name and estimated cost (based on a quotation), and including setup, taxes and shipping. An adequate justification should be provided in the budget narrative. </w:t>
      </w:r>
    </w:p>
    <w:p w:rsidR="003066E5" w:rsidRDefault="003066E5" w:rsidP="007B49E4">
      <w:pPr>
        <w:pStyle w:val="NormalWeb"/>
        <w:numPr>
          <w:ilvl w:val="0"/>
          <w:numId w:val="20"/>
        </w:numPr>
        <w:tabs>
          <w:tab w:val="clear" w:pos="340"/>
          <w:tab w:val="num" w:pos="1040"/>
        </w:tabs>
        <w:spacing w:line="20" w:lineRule="atLeast"/>
        <w:ind w:left="1040"/>
        <w:rPr>
          <w:sz w:val="22"/>
          <w:szCs w:val="22"/>
        </w:rPr>
      </w:pPr>
      <w:r w:rsidRPr="008E3AF9">
        <w:rPr>
          <w:sz w:val="22"/>
          <w:szCs w:val="22"/>
        </w:rPr>
        <w:t xml:space="preserve">Items with a useful life of more than one year and costing $500 or more, but less than $5,000, normally should be included and justified under "Materials and Supplies." </w:t>
      </w:r>
    </w:p>
    <w:p w:rsidR="003066E5" w:rsidRDefault="003066E5" w:rsidP="007B49E4">
      <w:pPr>
        <w:pStyle w:val="NormalWeb"/>
        <w:numPr>
          <w:ilvl w:val="0"/>
          <w:numId w:val="20"/>
        </w:numPr>
        <w:tabs>
          <w:tab w:val="clear" w:pos="340"/>
          <w:tab w:val="num" w:pos="1040"/>
        </w:tabs>
        <w:spacing w:before="0" w:beforeAutospacing="0" w:after="0" w:afterAutospacing="0" w:line="20" w:lineRule="atLeast"/>
        <w:ind w:left="1040"/>
        <w:rPr>
          <w:sz w:val="22"/>
          <w:szCs w:val="22"/>
        </w:rPr>
      </w:pPr>
      <w:r w:rsidRPr="008E3AF9">
        <w:rPr>
          <w:sz w:val="22"/>
          <w:szCs w:val="22"/>
        </w:rPr>
        <w:t xml:space="preserve">If equipment is wholly pledged as cost sharing, it must be purchased </w:t>
      </w:r>
      <w:r>
        <w:rPr>
          <w:sz w:val="22"/>
          <w:szCs w:val="22"/>
        </w:rPr>
        <w:t xml:space="preserve">by the School/College </w:t>
      </w:r>
      <w:r w:rsidRPr="008E3AF9">
        <w:rPr>
          <w:sz w:val="22"/>
          <w:szCs w:val="22"/>
        </w:rPr>
        <w:t xml:space="preserve">during the project’s period of performance.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ind w:left="360" w:firstLine="340"/>
        <w:rPr>
          <w:b/>
          <w:sz w:val="22"/>
          <w:szCs w:val="22"/>
        </w:rPr>
      </w:pPr>
      <w:proofErr w:type="spellStart"/>
      <w:r w:rsidRPr="008E3AF9">
        <w:rPr>
          <w:rStyle w:val="Strong"/>
          <w:b w:val="0"/>
          <w:sz w:val="22"/>
          <w:szCs w:val="22"/>
        </w:rPr>
        <w:t>Subawards</w:t>
      </w:r>
      <w:proofErr w:type="spellEnd"/>
      <w:r w:rsidRPr="008E3AF9">
        <w:rPr>
          <w:rStyle w:val="Strong"/>
          <w:b w:val="0"/>
          <w:sz w:val="22"/>
          <w:szCs w:val="22"/>
        </w:rPr>
        <w:t>:</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rPr>
          <w:sz w:val="22"/>
          <w:szCs w:val="22"/>
        </w:rPr>
        <w:t xml:space="preserve">The anticipated use of subcontractors should be clearly identified in the text of the proposal. </w:t>
      </w:r>
    </w:p>
    <w:p w:rsidR="003066E5" w:rsidRDefault="003066E5" w:rsidP="007B49E4">
      <w:pPr>
        <w:pStyle w:val="NormalWeb"/>
        <w:numPr>
          <w:ilvl w:val="0"/>
          <w:numId w:val="21"/>
        </w:numPr>
        <w:tabs>
          <w:tab w:val="clear" w:pos="340"/>
          <w:tab w:val="num" w:pos="1040"/>
        </w:tabs>
        <w:spacing w:line="20" w:lineRule="atLeast"/>
        <w:ind w:left="1052" w:hanging="346"/>
        <w:rPr>
          <w:sz w:val="22"/>
          <w:szCs w:val="22"/>
        </w:rPr>
      </w:pPr>
      <w:r w:rsidRPr="008E3AF9">
        <w:rPr>
          <w:sz w:val="22"/>
          <w:szCs w:val="22"/>
        </w:rPr>
        <w:t xml:space="preserve">Subcontractor / </w:t>
      </w:r>
      <w:proofErr w:type="spellStart"/>
      <w:r w:rsidRPr="008E3AF9">
        <w:rPr>
          <w:sz w:val="22"/>
          <w:szCs w:val="22"/>
        </w:rPr>
        <w:t>subawards</w:t>
      </w:r>
      <w:proofErr w:type="spellEnd"/>
      <w:r w:rsidRPr="008E3AF9">
        <w:rPr>
          <w:sz w:val="22"/>
          <w:szCs w:val="22"/>
        </w:rPr>
        <w:t xml:space="preserve"> must be included as a line item in the budget. </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rPr>
          <w:sz w:val="22"/>
          <w:szCs w:val="22"/>
        </w:rPr>
        <w:lastRenderedPageBreak/>
        <w:t xml:space="preserve">A formal proposal from the </w:t>
      </w:r>
      <w:proofErr w:type="spellStart"/>
      <w:r w:rsidRPr="008E3AF9">
        <w:rPr>
          <w:sz w:val="22"/>
          <w:szCs w:val="22"/>
        </w:rPr>
        <w:t>subawardee</w:t>
      </w:r>
      <w:proofErr w:type="spellEnd"/>
      <w:r w:rsidRPr="008E3AF9">
        <w:rPr>
          <w:sz w:val="22"/>
          <w:szCs w:val="22"/>
        </w:rPr>
        <w:t xml:space="preserve">, including a statement of work, budget, budget justification, and letter of administrative approval from the </w:t>
      </w:r>
      <w:proofErr w:type="spellStart"/>
      <w:r w:rsidRPr="008E3AF9">
        <w:rPr>
          <w:sz w:val="22"/>
          <w:szCs w:val="22"/>
        </w:rPr>
        <w:t>subawardee’s</w:t>
      </w:r>
      <w:proofErr w:type="spellEnd"/>
      <w:r w:rsidRPr="008E3AF9">
        <w:rPr>
          <w:sz w:val="22"/>
          <w:szCs w:val="22"/>
        </w:rPr>
        <w:t xml:space="preserve"> institution should be provided when the proposal is submitted to the OCG. </w:t>
      </w:r>
      <w:r>
        <w:rPr>
          <w:sz w:val="22"/>
          <w:szCs w:val="22"/>
        </w:rPr>
        <w:t xml:space="preserve"> OCG will not submit proposals without this information from the </w:t>
      </w:r>
      <w:proofErr w:type="spellStart"/>
      <w:r>
        <w:rPr>
          <w:sz w:val="22"/>
          <w:szCs w:val="22"/>
        </w:rPr>
        <w:t>subawardee</w:t>
      </w:r>
      <w:proofErr w:type="spellEnd"/>
      <w:r>
        <w:rPr>
          <w:sz w:val="22"/>
          <w:szCs w:val="22"/>
        </w:rPr>
        <w:t>.</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t xml:space="preserve">A copy of the review of a </w:t>
      </w:r>
      <w:proofErr w:type="spellStart"/>
      <w:r w:rsidRPr="008E3AF9">
        <w:t>subrecipient’s</w:t>
      </w:r>
      <w:proofErr w:type="spellEnd"/>
      <w:r w:rsidRPr="008E3AF9">
        <w:t xml:space="preserve"> A-133 audit reports must be included.</w:t>
      </w:r>
    </w:p>
    <w:p w:rsidR="003066E5" w:rsidRDefault="003066E5" w:rsidP="007B49E4">
      <w:pPr>
        <w:pStyle w:val="NormalWeb"/>
        <w:numPr>
          <w:ilvl w:val="0"/>
          <w:numId w:val="21"/>
        </w:numPr>
        <w:tabs>
          <w:tab w:val="clear" w:pos="340"/>
          <w:tab w:val="num" w:pos="1040"/>
        </w:tabs>
        <w:spacing w:before="0" w:beforeAutospacing="0" w:after="0" w:afterAutospacing="0" w:line="20" w:lineRule="atLeast"/>
        <w:ind w:left="1052" w:hanging="346"/>
        <w:rPr>
          <w:sz w:val="22"/>
          <w:szCs w:val="22"/>
        </w:rPr>
      </w:pPr>
      <w:r w:rsidRPr="008E3AF9">
        <w:t xml:space="preserve">If the </w:t>
      </w:r>
      <w:proofErr w:type="spellStart"/>
      <w:r w:rsidRPr="008E3AF9">
        <w:t>subawardee</w:t>
      </w:r>
      <w:proofErr w:type="spellEnd"/>
      <w:r w:rsidRPr="008E3AF9">
        <w:t xml:space="preserve"> organization does not meet the minimum requirements for an A-133 audit, complete the Audit Certification and Financial Status Questionnaire to determine whether the organization has the policies and procedures in place to adequately assure compliance with </w:t>
      </w:r>
      <w:proofErr w:type="spellStart"/>
      <w:r w:rsidRPr="008E3AF9">
        <w:t>subawardee</w:t>
      </w:r>
      <w:proofErr w:type="spellEnd"/>
      <w:r w:rsidRPr="008E3AF9">
        <w:t xml:space="preserve"> requirements.</w:t>
      </w:r>
    </w:p>
    <w:p w:rsidR="00117AC7" w:rsidRDefault="00117AC7" w:rsidP="00117AC7">
      <w:pPr>
        <w:pStyle w:val="NormalWeb"/>
        <w:spacing w:before="0" w:beforeAutospacing="0" w:after="0" w:afterAutospacing="0" w:line="20" w:lineRule="atLeast"/>
        <w:rPr>
          <w:sz w:val="22"/>
          <w:szCs w:val="22"/>
        </w:rPr>
      </w:pPr>
    </w:p>
    <w:p w:rsidR="003066E5" w:rsidRPr="008E3AF9" w:rsidRDefault="003066E5" w:rsidP="00117AC7">
      <w:pPr>
        <w:pStyle w:val="NormalWeb"/>
        <w:spacing w:before="0" w:beforeAutospacing="0" w:after="0" w:afterAutospacing="0" w:line="20" w:lineRule="atLeast"/>
        <w:rPr>
          <w:i/>
          <w:sz w:val="22"/>
          <w:szCs w:val="22"/>
        </w:rPr>
      </w:pPr>
      <w:r w:rsidRPr="008E3AF9">
        <w:rPr>
          <w:i/>
          <w:sz w:val="22"/>
          <w:szCs w:val="22"/>
        </w:rPr>
        <w:t xml:space="preserve">Note:  </w:t>
      </w:r>
      <w:r>
        <w:rPr>
          <w:i/>
          <w:sz w:val="22"/>
          <w:szCs w:val="22"/>
        </w:rPr>
        <w:t>R</w:t>
      </w:r>
      <w:r w:rsidRPr="008E3AF9">
        <w:rPr>
          <w:i/>
          <w:sz w:val="22"/>
          <w:szCs w:val="22"/>
        </w:rPr>
        <w:t xml:space="preserve">efer to the </w:t>
      </w:r>
      <w:r w:rsidRPr="00797395">
        <w:rPr>
          <w:b/>
          <w:i/>
          <w:sz w:val="22"/>
          <w:szCs w:val="22"/>
        </w:rPr>
        <w:t xml:space="preserve">USF </w:t>
      </w:r>
      <w:proofErr w:type="spellStart"/>
      <w:r w:rsidRPr="00797395">
        <w:rPr>
          <w:b/>
          <w:i/>
          <w:sz w:val="22"/>
          <w:szCs w:val="22"/>
        </w:rPr>
        <w:t>Subaward</w:t>
      </w:r>
      <w:proofErr w:type="spellEnd"/>
      <w:r w:rsidRPr="00797395">
        <w:rPr>
          <w:b/>
          <w:i/>
          <w:sz w:val="22"/>
          <w:szCs w:val="22"/>
        </w:rPr>
        <w:t xml:space="preserve"> Policy and Procedures</w:t>
      </w:r>
      <w:r w:rsidRPr="008E3AF9">
        <w:rPr>
          <w:i/>
          <w:sz w:val="22"/>
          <w:szCs w:val="22"/>
        </w:rPr>
        <w:t xml:space="preserve"> (dated </w:t>
      </w:r>
      <w:r>
        <w:rPr>
          <w:i/>
          <w:sz w:val="22"/>
          <w:szCs w:val="22"/>
        </w:rPr>
        <w:t>7/3/11</w:t>
      </w:r>
      <w:r w:rsidRPr="008E3AF9">
        <w:rPr>
          <w:i/>
          <w:sz w:val="22"/>
          <w:szCs w:val="22"/>
        </w:rPr>
        <w:t xml:space="preserve"> for additional guidelines and requirements.</w:t>
      </w:r>
      <w:r w:rsidR="00117AC7">
        <w:rPr>
          <w:i/>
          <w:sz w:val="22"/>
          <w:szCs w:val="22"/>
        </w:rPr>
        <w:t>)</w:t>
      </w:r>
    </w:p>
    <w:p w:rsidR="003066E5" w:rsidRPr="008E3AF9" w:rsidRDefault="003066E5" w:rsidP="00FE5783">
      <w:pPr>
        <w:pStyle w:val="NormalWeb"/>
        <w:spacing w:before="0" w:beforeAutospacing="0" w:after="0" w:afterAutospacing="0" w:line="20" w:lineRule="atLeast"/>
        <w:ind w:left="706"/>
        <w:rPr>
          <w:sz w:val="22"/>
          <w:szCs w:val="22"/>
        </w:rPr>
      </w:pPr>
    </w:p>
    <w:p w:rsidR="003066E5" w:rsidRPr="008E3AF9" w:rsidRDefault="003066E5" w:rsidP="00FE5783">
      <w:pPr>
        <w:pStyle w:val="NormalWeb"/>
        <w:spacing w:before="0" w:beforeAutospacing="0" w:after="0" w:afterAutospacing="0" w:line="20" w:lineRule="atLeast"/>
        <w:ind w:left="360" w:firstLine="346"/>
        <w:rPr>
          <w:b/>
          <w:sz w:val="22"/>
          <w:szCs w:val="22"/>
        </w:rPr>
      </w:pPr>
      <w:r w:rsidRPr="008E3AF9">
        <w:rPr>
          <w:rStyle w:val="Strong"/>
          <w:b w:val="0"/>
          <w:sz w:val="22"/>
          <w:szCs w:val="22"/>
        </w:rPr>
        <w:t>Professional Services/Consultants:</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rPr>
      </w:pPr>
      <w:r w:rsidRPr="008E3AF9">
        <w:rPr>
          <w:rFonts w:ascii="Times New Roman" w:hAnsi="Times New Roman"/>
        </w:rPr>
        <w:t xml:space="preserve">Consultants are individuals providing technical assistance who are not USF employees.  The estimated cost for the consultant may include payment for professional services, up to the sponsor's maximum allowable rate, and related costs such as per diem and travel.  The consultant’s expertise and the need for obtaining his or her services should be described in the proposal narrative and include a letter of commitment/intent. </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rPr>
      </w:pPr>
      <w:r>
        <w:rPr>
          <w:rFonts w:ascii="Times New Roman" w:hAnsi="Times New Roman"/>
        </w:rPr>
        <w:t>Upon award, the eligibility of the proposed consultant will be evaluated by USF; a consultant cannot be hired without USF review and approval.</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b/>
        </w:rPr>
      </w:pPr>
      <w:r w:rsidRPr="008E3AF9">
        <w:rPr>
          <w:rFonts w:ascii="Times New Roman" w:hAnsi="Times New Roman"/>
        </w:rPr>
        <w:t xml:space="preserve">Consultants may not be current University employees performing the same or similar duties. </w:t>
      </w:r>
    </w:p>
    <w:p w:rsidR="003066E5" w:rsidRDefault="003066E5" w:rsidP="007B49E4">
      <w:pPr>
        <w:numPr>
          <w:ilvl w:val="0"/>
          <w:numId w:val="22"/>
        </w:numPr>
        <w:tabs>
          <w:tab w:val="clear" w:pos="340"/>
          <w:tab w:val="num" w:pos="1046"/>
        </w:tabs>
        <w:spacing w:after="0" w:line="20" w:lineRule="atLeast"/>
        <w:ind w:left="1046"/>
        <w:rPr>
          <w:rFonts w:ascii="Times New Roman" w:hAnsi="Times New Roman"/>
          <w:b/>
        </w:rPr>
      </w:pPr>
      <w:r w:rsidRPr="008E3AF9">
        <w:rPr>
          <w:rFonts w:ascii="Times New Roman" w:hAnsi="Times New Roman"/>
        </w:rPr>
        <w:t xml:space="preserve">The maximum allowable amount that can be charged to a Federal grant for consulting services </w:t>
      </w:r>
      <w:r w:rsidR="00806FA9">
        <w:rPr>
          <w:rFonts w:ascii="Times New Roman" w:hAnsi="Times New Roman"/>
        </w:rPr>
        <w:t xml:space="preserve">changes annually.  </w:t>
      </w:r>
      <w:r w:rsidRPr="008E3AF9">
        <w:rPr>
          <w:rFonts w:ascii="Times New Roman" w:hAnsi="Times New Roman"/>
        </w:rPr>
        <w:t>Flat rates are allowable. Amounts should be  based on the consultant’s regular salary.</w:t>
      </w:r>
    </w:p>
    <w:p w:rsidR="003066E5" w:rsidRPr="008E3AF9" w:rsidRDefault="003066E5" w:rsidP="00FE5783">
      <w:pPr>
        <w:spacing w:after="0" w:line="20" w:lineRule="atLeast"/>
        <w:rPr>
          <w:rFonts w:ascii="Times New Roman" w:hAnsi="Times New Roman"/>
          <w:b/>
        </w:rPr>
      </w:pPr>
    </w:p>
    <w:p w:rsidR="003066E5" w:rsidRPr="008E3AF9" w:rsidRDefault="003066E5" w:rsidP="00FE5783">
      <w:pPr>
        <w:pStyle w:val="NormalWeb"/>
        <w:spacing w:before="0" w:beforeAutospacing="0" w:after="0" w:afterAutospacing="0" w:line="20" w:lineRule="atLeast"/>
        <w:ind w:left="360" w:firstLine="340"/>
        <w:rPr>
          <w:b/>
          <w:sz w:val="22"/>
          <w:szCs w:val="22"/>
        </w:rPr>
      </w:pPr>
      <w:r w:rsidRPr="008E3AF9">
        <w:rPr>
          <w:rStyle w:val="Strong"/>
          <w:b w:val="0"/>
          <w:sz w:val="22"/>
          <w:szCs w:val="22"/>
        </w:rPr>
        <w:t>Other Direct Costs:</w:t>
      </w:r>
    </w:p>
    <w:p w:rsidR="003066E5" w:rsidRDefault="003066E5" w:rsidP="007B49E4">
      <w:pPr>
        <w:pStyle w:val="NormalWeb"/>
        <w:numPr>
          <w:ilvl w:val="0"/>
          <w:numId w:val="23"/>
        </w:numPr>
        <w:tabs>
          <w:tab w:val="clear" w:pos="340"/>
          <w:tab w:val="num" w:pos="1040"/>
        </w:tabs>
        <w:spacing w:before="0" w:beforeAutospacing="0" w:after="0" w:afterAutospacing="0" w:line="20" w:lineRule="atLeast"/>
        <w:ind w:left="1040"/>
        <w:rPr>
          <w:sz w:val="22"/>
          <w:szCs w:val="22"/>
        </w:rPr>
      </w:pPr>
      <w:r w:rsidRPr="008E3AF9">
        <w:rPr>
          <w:sz w:val="22"/>
          <w:szCs w:val="22"/>
        </w:rPr>
        <w:t xml:space="preserve">Other Direct Costs should be itemized and described in the narrative. </w:t>
      </w:r>
    </w:p>
    <w:p w:rsidR="003066E5" w:rsidRDefault="003066E5" w:rsidP="007B49E4">
      <w:pPr>
        <w:pStyle w:val="NormalWeb"/>
        <w:numPr>
          <w:ilvl w:val="0"/>
          <w:numId w:val="23"/>
        </w:numPr>
        <w:tabs>
          <w:tab w:val="clear" w:pos="340"/>
          <w:tab w:val="num" w:pos="1040"/>
        </w:tabs>
        <w:spacing w:line="20" w:lineRule="atLeast"/>
        <w:ind w:left="1040"/>
        <w:rPr>
          <w:sz w:val="22"/>
          <w:szCs w:val="22"/>
        </w:rPr>
      </w:pPr>
      <w:r w:rsidRPr="008E3AF9">
        <w:rPr>
          <w:sz w:val="22"/>
          <w:szCs w:val="22"/>
        </w:rPr>
        <w:t xml:space="preserve">Telephone service, including monthly service charges, ISDN, calling cards charges typically should not be included as these are normally treated as indirect costs. </w:t>
      </w:r>
    </w:p>
    <w:p w:rsidR="003066E5" w:rsidRDefault="003066E5" w:rsidP="007B49E4">
      <w:pPr>
        <w:pStyle w:val="NormalWeb"/>
        <w:numPr>
          <w:ilvl w:val="0"/>
          <w:numId w:val="23"/>
        </w:numPr>
        <w:tabs>
          <w:tab w:val="clear" w:pos="340"/>
          <w:tab w:val="num" w:pos="1040"/>
        </w:tabs>
        <w:spacing w:before="0" w:beforeAutospacing="0" w:after="0" w:afterAutospacing="0" w:line="20" w:lineRule="atLeast"/>
        <w:ind w:left="1040"/>
        <w:rPr>
          <w:sz w:val="22"/>
          <w:szCs w:val="22"/>
        </w:rPr>
      </w:pPr>
      <w:r w:rsidRPr="008E3AF9">
        <w:rPr>
          <w:sz w:val="22"/>
          <w:szCs w:val="22"/>
        </w:rPr>
        <w:t xml:space="preserve">Memberships, postage, and food are typically deemed to be unallowable unless they are going to be main elements of the project.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ind w:firstLine="700"/>
        <w:rPr>
          <w:b/>
          <w:sz w:val="22"/>
          <w:szCs w:val="22"/>
        </w:rPr>
      </w:pPr>
      <w:r w:rsidRPr="008E3AF9">
        <w:rPr>
          <w:rStyle w:val="Strong"/>
          <w:b w:val="0"/>
          <w:sz w:val="22"/>
          <w:szCs w:val="22"/>
        </w:rPr>
        <w:t>Tuition:</w:t>
      </w:r>
    </w:p>
    <w:p w:rsidR="003066E5" w:rsidRDefault="003066E5" w:rsidP="007B49E4">
      <w:pPr>
        <w:pStyle w:val="NormalWeb"/>
        <w:numPr>
          <w:ilvl w:val="0"/>
          <w:numId w:val="24"/>
        </w:numPr>
        <w:tabs>
          <w:tab w:val="clear" w:pos="340"/>
          <w:tab w:val="num" w:pos="1020"/>
        </w:tabs>
        <w:spacing w:before="0" w:beforeAutospacing="0" w:after="0" w:afterAutospacing="0" w:line="20" w:lineRule="atLeast"/>
        <w:ind w:left="1020"/>
        <w:rPr>
          <w:sz w:val="22"/>
          <w:szCs w:val="22"/>
        </w:rPr>
      </w:pPr>
      <w:r w:rsidRPr="008E3AF9">
        <w:rPr>
          <w:sz w:val="22"/>
          <w:szCs w:val="22"/>
        </w:rPr>
        <w:t>Unless expressly prohibited by the sponsor, graduate tuition should be included as a direct cost in the budget if the project includes the support of Graduate Assistants.</w:t>
      </w:r>
    </w:p>
    <w:p w:rsidR="003066E5" w:rsidRDefault="003066E5" w:rsidP="007B49E4">
      <w:pPr>
        <w:pStyle w:val="NormalWeb"/>
        <w:numPr>
          <w:ilvl w:val="0"/>
          <w:numId w:val="24"/>
        </w:numPr>
        <w:tabs>
          <w:tab w:val="clear" w:pos="340"/>
          <w:tab w:val="num" w:pos="1020"/>
        </w:tabs>
        <w:spacing w:line="20" w:lineRule="atLeast"/>
        <w:ind w:left="1020"/>
        <w:rPr>
          <w:sz w:val="22"/>
          <w:szCs w:val="22"/>
        </w:rPr>
      </w:pPr>
      <w:r w:rsidRPr="008E3AF9">
        <w:rPr>
          <w:sz w:val="22"/>
          <w:szCs w:val="22"/>
        </w:rPr>
        <w:t>Any exceptions to this policy must be approved in writing by the Vice Provost.</w:t>
      </w: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5" w:name="_Toc405369375"/>
      <w:r w:rsidRPr="008E3AF9">
        <w:rPr>
          <w:rStyle w:val="Strong"/>
          <w:rFonts w:ascii="Times New Roman" w:hAnsi="Times New Roman"/>
          <w:b/>
          <w:i/>
          <w:color w:val="auto"/>
          <w:sz w:val="22"/>
          <w:szCs w:val="22"/>
        </w:rPr>
        <w:t>Indirect Costs</w:t>
      </w:r>
      <w:bookmarkEnd w:id="15"/>
    </w:p>
    <w:p w:rsidR="003066E5" w:rsidRDefault="003066E5" w:rsidP="00117AC7">
      <w:pPr>
        <w:numPr>
          <w:ilvl w:val="0"/>
          <w:numId w:val="13"/>
        </w:numPr>
        <w:tabs>
          <w:tab w:val="clear" w:pos="340"/>
          <w:tab w:val="num" w:pos="1066"/>
        </w:tabs>
        <w:spacing w:after="0" w:line="20" w:lineRule="atLeast"/>
        <w:ind w:left="1066" w:hanging="346"/>
        <w:rPr>
          <w:rFonts w:ascii="Times New Roman" w:hAnsi="Times New Roman"/>
          <w:b/>
          <w:bCs/>
        </w:rPr>
      </w:pPr>
      <w:r w:rsidRPr="008E3AF9">
        <w:rPr>
          <w:rFonts w:ascii="Times New Roman" w:hAnsi="Times New Roman"/>
        </w:rPr>
        <w:t>USF maintains federally negotiated indirect cost rates with the federal government.</w:t>
      </w:r>
    </w:p>
    <w:p w:rsidR="003066E5" w:rsidRDefault="003066E5" w:rsidP="007B49E4">
      <w:pPr>
        <w:numPr>
          <w:ilvl w:val="0"/>
          <w:numId w:val="13"/>
        </w:numPr>
        <w:tabs>
          <w:tab w:val="clear" w:pos="340"/>
          <w:tab w:val="num" w:pos="1066"/>
        </w:tabs>
        <w:spacing w:after="0" w:line="20" w:lineRule="atLeast"/>
        <w:ind w:left="1066" w:hanging="346"/>
        <w:rPr>
          <w:rFonts w:ascii="Times New Roman" w:hAnsi="Times New Roman"/>
          <w:b/>
          <w:bCs/>
        </w:rPr>
      </w:pPr>
      <w:r w:rsidRPr="008E3AF9">
        <w:rPr>
          <w:rFonts w:ascii="Times New Roman" w:hAnsi="Times New Roman"/>
        </w:rPr>
        <w:t>Current indirect costs rates are posted on the OCG website.</w:t>
      </w:r>
    </w:p>
    <w:p w:rsidR="003066E5" w:rsidRDefault="003066E5" w:rsidP="007B49E4">
      <w:pPr>
        <w:numPr>
          <w:ilvl w:val="0"/>
          <w:numId w:val="13"/>
        </w:numPr>
        <w:tabs>
          <w:tab w:val="clear" w:pos="340"/>
          <w:tab w:val="num" w:pos="1066"/>
        </w:tabs>
        <w:spacing w:after="0" w:line="20" w:lineRule="atLeast"/>
        <w:ind w:left="1066" w:hanging="346"/>
        <w:rPr>
          <w:rFonts w:ascii="Times New Roman" w:hAnsi="Times New Roman"/>
          <w:b/>
          <w:bCs/>
        </w:rPr>
      </w:pPr>
      <w:r>
        <w:rPr>
          <w:rFonts w:ascii="Times New Roman" w:hAnsi="Times New Roman"/>
        </w:rPr>
        <w:t>All proposal budgets are expected t</w:t>
      </w:r>
      <w:r w:rsidR="00E0711F">
        <w:rPr>
          <w:rFonts w:ascii="Times New Roman" w:hAnsi="Times New Roman"/>
        </w:rPr>
        <w:t>o include indirect costs at the</w:t>
      </w:r>
      <w:r>
        <w:rPr>
          <w:rFonts w:ascii="Times New Roman" w:hAnsi="Times New Roman"/>
        </w:rPr>
        <w:t xml:space="preserve"> federally negotiated rate.</w:t>
      </w:r>
    </w:p>
    <w:p w:rsidR="003066E5" w:rsidRDefault="003066E5" w:rsidP="007B49E4">
      <w:pPr>
        <w:numPr>
          <w:ilvl w:val="0"/>
          <w:numId w:val="13"/>
        </w:numPr>
        <w:tabs>
          <w:tab w:val="clear" w:pos="340"/>
          <w:tab w:val="num" w:pos="1066"/>
        </w:tabs>
        <w:spacing w:after="0" w:line="20" w:lineRule="atLeast"/>
        <w:ind w:left="1066" w:hanging="346"/>
        <w:rPr>
          <w:rFonts w:ascii="Times New Roman" w:hAnsi="Times New Roman"/>
          <w:b/>
          <w:bCs/>
        </w:rPr>
      </w:pPr>
      <w:r>
        <w:rPr>
          <w:rFonts w:ascii="Times New Roman" w:hAnsi="Times New Roman"/>
        </w:rPr>
        <w:t>Any proposal budget that does not include indirect costs at the federally negotiated rate must be approved in writing by</w:t>
      </w:r>
      <w:r w:rsidR="003F0456">
        <w:rPr>
          <w:rFonts w:ascii="Times New Roman" w:hAnsi="Times New Roman"/>
        </w:rPr>
        <w:t xml:space="preserve"> OCG from </w:t>
      </w:r>
      <w:r>
        <w:rPr>
          <w:rFonts w:ascii="Times New Roman" w:hAnsi="Times New Roman"/>
        </w:rPr>
        <w:t>the Provost/Vice President for Academic Affairs.</w:t>
      </w:r>
    </w:p>
    <w:p w:rsidR="003066E5" w:rsidRDefault="003066E5"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Default="00637560" w:rsidP="00FE5783">
      <w:pPr>
        <w:spacing w:after="0" w:line="20" w:lineRule="atLeast"/>
        <w:rPr>
          <w:rFonts w:ascii="Times New Roman" w:hAnsi="Times New Roman"/>
          <w:b/>
          <w:bCs/>
        </w:rPr>
      </w:pPr>
    </w:p>
    <w:p w:rsidR="00637560" w:rsidRPr="008E3AF9" w:rsidRDefault="00637560" w:rsidP="00FE5783">
      <w:pPr>
        <w:spacing w:after="0" w:line="20" w:lineRule="atLeast"/>
        <w:rPr>
          <w:rFonts w:ascii="Times New Roman" w:hAnsi="Times New Roman"/>
          <w:b/>
          <w:bCs/>
        </w:rPr>
      </w:pPr>
    </w:p>
    <w:p w:rsidR="00637560" w:rsidRDefault="00637560"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p>
    <w:p w:rsidR="003066E5" w:rsidRPr="008E3AF9" w:rsidRDefault="003066E5" w:rsidP="00FE5783">
      <w:pPr>
        <w:pStyle w:val="Heading2"/>
        <w:spacing w:before="0" w:beforeAutospacing="0" w:after="0" w:afterAutospacing="0" w:line="20" w:lineRule="atLeast"/>
        <w:ind w:firstLine="360"/>
        <w:rPr>
          <w:rStyle w:val="Strong"/>
          <w:rFonts w:ascii="Times New Roman" w:hAnsi="Times New Roman"/>
          <w:b/>
          <w:i/>
          <w:color w:val="auto"/>
          <w:sz w:val="22"/>
          <w:szCs w:val="22"/>
        </w:rPr>
      </w:pPr>
      <w:bookmarkStart w:id="16" w:name="_Toc405369376"/>
      <w:r w:rsidRPr="008E3AF9">
        <w:rPr>
          <w:rStyle w:val="Strong"/>
          <w:rFonts w:ascii="Times New Roman" w:hAnsi="Times New Roman"/>
          <w:b/>
          <w:i/>
          <w:color w:val="auto"/>
          <w:sz w:val="22"/>
          <w:szCs w:val="22"/>
        </w:rPr>
        <w:lastRenderedPageBreak/>
        <w:t>Cost Sharing</w:t>
      </w:r>
      <w:bookmarkEnd w:id="16"/>
    </w:p>
    <w:p w:rsidR="003066E5" w:rsidRDefault="003066E5" w:rsidP="00FE5783">
      <w:pPr>
        <w:pStyle w:val="ListParagraph"/>
        <w:spacing w:after="0" w:line="20" w:lineRule="atLeast"/>
        <w:ind w:left="360"/>
        <w:rPr>
          <w:rFonts w:ascii="Times New Roman" w:hAnsi="Times New Roman"/>
        </w:rPr>
      </w:pPr>
      <w:r>
        <w:rPr>
          <w:rFonts w:ascii="Times New Roman" w:hAnsi="Times New Roman"/>
        </w:rPr>
        <w:t>Unless the sponsor requires cost sharing, c</w:t>
      </w:r>
      <w:r w:rsidRPr="008E3AF9">
        <w:rPr>
          <w:rFonts w:ascii="Times New Roman" w:hAnsi="Times New Roman"/>
        </w:rPr>
        <w:t xml:space="preserve">ost sharing is </w:t>
      </w:r>
      <w:r>
        <w:rPr>
          <w:rFonts w:ascii="Times New Roman" w:hAnsi="Times New Roman"/>
        </w:rPr>
        <w:t>highly discouraged. Any request for cost sharing must be approved by the Provost/Vice President</w:t>
      </w:r>
      <w:r w:rsidR="00DD060A">
        <w:rPr>
          <w:rFonts w:ascii="Times New Roman" w:hAnsi="Times New Roman"/>
        </w:rPr>
        <w:t xml:space="preserve">.  </w:t>
      </w:r>
      <w:r>
        <w:rPr>
          <w:rFonts w:ascii="Times New Roman" w:hAnsi="Times New Roman"/>
        </w:rPr>
        <w:t xml:space="preserve">  When approved, cost sharing may only i</w:t>
      </w:r>
      <w:r w:rsidRPr="008E3AF9">
        <w:rPr>
          <w:rFonts w:ascii="Times New Roman" w:hAnsi="Times New Roman"/>
        </w:rPr>
        <w:t xml:space="preserve">nclude expenses that are allowable on and allocable to the project and incurred during the project period.  </w:t>
      </w:r>
      <w:r w:rsidR="00BD5F20" w:rsidRPr="00335CEA">
        <w:rPr>
          <w:rFonts w:ascii="Times New Roman" w:hAnsi="Times New Roman"/>
          <w:b/>
        </w:rPr>
        <w:t>Indirect costs are not to be considered part of the cost share.</w:t>
      </w:r>
    </w:p>
    <w:p w:rsidR="003066E5" w:rsidRDefault="003066E5" w:rsidP="00FE5783">
      <w:pPr>
        <w:pStyle w:val="ListParagraph"/>
        <w:spacing w:after="0" w:line="20" w:lineRule="atLeast"/>
        <w:ind w:left="360"/>
        <w:rPr>
          <w:rFonts w:ascii="Times New Roman" w:hAnsi="Times New Roman"/>
        </w:rPr>
      </w:pPr>
    </w:p>
    <w:p w:rsidR="00F901F6" w:rsidRDefault="003066E5" w:rsidP="001E36DA">
      <w:pPr>
        <w:pStyle w:val="ListParagraph"/>
        <w:spacing w:after="0" w:line="20" w:lineRule="atLeast"/>
        <w:ind w:left="360"/>
      </w:pPr>
      <w:r w:rsidRPr="008E3AF9">
        <w:rPr>
          <w:rFonts w:ascii="Times New Roman" w:hAnsi="Times New Roman"/>
        </w:rPr>
        <w:t xml:space="preserve">The establishment of a separate University account will be required to record and track University cost sharing commitments.  It is the college/school’s responsibility to provide documentation (such as FOAPs to be charged) which supports </w:t>
      </w:r>
      <w:r>
        <w:rPr>
          <w:rFonts w:ascii="Times New Roman" w:hAnsi="Times New Roman"/>
        </w:rPr>
        <w:t xml:space="preserve">the </w:t>
      </w:r>
      <w:r w:rsidRPr="008E3AF9">
        <w:rPr>
          <w:rFonts w:ascii="Times New Roman" w:hAnsi="Times New Roman"/>
        </w:rPr>
        <w:t>cost sharing commitment</w:t>
      </w:r>
      <w:r>
        <w:rPr>
          <w:rFonts w:ascii="Times New Roman" w:hAnsi="Times New Roman"/>
        </w:rPr>
        <w:t xml:space="preserve"> on the proposal approval form</w:t>
      </w:r>
      <w:r w:rsidRPr="008E3AF9">
        <w:rPr>
          <w:rFonts w:ascii="Times New Roman" w:hAnsi="Times New Roman"/>
        </w:rPr>
        <w:t xml:space="preserve">. </w:t>
      </w:r>
      <w:r w:rsidRPr="008E3AF9">
        <w:t>As part of the internal approval process of the award by the University, the following are required in cases of cost sharing:</w:t>
      </w:r>
    </w:p>
    <w:p w:rsidR="003066E5" w:rsidRPr="008E3AF9" w:rsidRDefault="003066E5" w:rsidP="00FE5783">
      <w:pPr>
        <w:pStyle w:val="ListParagraph"/>
        <w:numPr>
          <w:ilvl w:val="0"/>
          <w:numId w:val="32"/>
        </w:numPr>
        <w:spacing w:after="0" w:line="20" w:lineRule="atLeast"/>
        <w:rPr>
          <w:rFonts w:ascii="Times New Roman" w:hAnsi="Times New Roman"/>
        </w:rPr>
      </w:pPr>
      <w:r w:rsidRPr="008E3AF9">
        <w:rPr>
          <w:rFonts w:ascii="Times New Roman" w:hAnsi="Times New Roman"/>
        </w:rPr>
        <w:t>Cost share commitment approved by the Dean;</w:t>
      </w:r>
    </w:p>
    <w:p w:rsidR="003066E5" w:rsidRPr="00637560" w:rsidRDefault="003066E5" w:rsidP="00637560">
      <w:pPr>
        <w:pStyle w:val="ListParagraph"/>
        <w:numPr>
          <w:ilvl w:val="0"/>
          <w:numId w:val="32"/>
        </w:numPr>
        <w:spacing w:after="0" w:line="20" w:lineRule="atLeast"/>
        <w:rPr>
          <w:rFonts w:ascii="Times New Roman" w:hAnsi="Times New Roman"/>
        </w:rPr>
      </w:pPr>
      <w:r w:rsidRPr="008E3AF9">
        <w:rPr>
          <w:rFonts w:ascii="Times New Roman" w:hAnsi="Times New Roman"/>
        </w:rPr>
        <w:t>Separate account and fund provided by the Dean.</w:t>
      </w:r>
    </w:p>
    <w:p w:rsidR="003066E5" w:rsidRPr="008E3AF9" w:rsidRDefault="003066E5" w:rsidP="00FE5783">
      <w:pPr>
        <w:pStyle w:val="ListParagraph"/>
        <w:spacing w:after="0" w:line="20" w:lineRule="atLeast"/>
        <w:ind w:left="360"/>
        <w:rPr>
          <w:rFonts w:ascii="Times New Roman" w:hAnsi="Times New Roman"/>
          <w:i/>
        </w:rPr>
      </w:pPr>
    </w:p>
    <w:p w:rsidR="00D35807" w:rsidRPr="00D35807" w:rsidRDefault="00DC02D9" w:rsidP="00D35807">
      <w:pPr>
        <w:pStyle w:val="Heading1"/>
        <w:numPr>
          <w:ilvl w:val="0"/>
          <w:numId w:val="36"/>
        </w:numPr>
        <w:rPr>
          <w:szCs w:val="22"/>
        </w:rPr>
      </w:pPr>
      <w:bookmarkStart w:id="17" w:name="_Toc405369377"/>
      <w:r>
        <w:rPr>
          <w:szCs w:val="22"/>
        </w:rPr>
        <w:t>N</w:t>
      </w:r>
      <w:r w:rsidR="003066E5" w:rsidRPr="008E3AF9">
        <w:rPr>
          <w:szCs w:val="22"/>
        </w:rPr>
        <w:t xml:space="preserve">egotiations and </w:t>
      </w:r>
      <w:proofErr w:type="spellStart"/>
      <w:r w:rsidR="003066E5" w:rsidRPr="008E3AF9">
        <w:rPr>
          <w:szCs w:val="22"/>
        </w:rPr>
        <w:t>Subawards</w:t>
      </w:r>
      <w:bookmarkEnd w:id="17"/>
      <w:proofErr w:type="spellEnd"/>
    </w:p>
    <w:p w:rsidR="003066E5" w:rsidRPr="008E3AF9" w:rsidRDefault="003066E5" w:rsidP="00FE5783">
      <w:pPr>
        <w:autoSpaceDE w:val="0"/>
        <w:autoSpaceDN w:val="0"/>
        <w:adjustRightInd w:val="0"/>
        <w:spacing w:after="0" w:line="20" w:lineRule="atLeast"/>
        <w:rPr>
          <w:rFonts w:ascii="Times New Roman" w:hAnsi="Times New Roman"/>
          <w:b/>
          <w:i/>
        </w:rPr>
      </w:pPr>
      <w:r w:rsidRPr="008E3AF9">
        <w:rPr>
          <w:rFonts w:ascii="Times New Roman" w:hAnsi="Times New Roman"/>
          <w:b/>
          <w:i/>
        </w:rPr>
        <w:t>Negotiations</w:t>
      </w: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 xml:space="preserve">The OCG reviews the provisions of each award for consistency with the proposal and University policies. The OCG is responsible for negotiating the terms and conditions of the agreement with the sponsor and coordinating these negotiations with the PI and other University officials when appropriate.  Legal counsel reviews all terms and conditions of </w:t>
      </w:r>
      <w:proofErr w:type="spellStart"/>
      <w:r w:rsidRPr="008E3AF9">
        <w:rPr>
          <w:rFonts w:ascii="Times New Roman" w:hAnsi="Times New Roman"/>
        </w:rPr>
        <w:t>subaward</w:t>
      </w:r>
      <w:proofErr w:type="spellEnd"/>
      <w:r w:rsidRPr="008E3AF9">
        <w:rPr>
          <w:rFonts w:ascii="Times New Roman" w:hAnsi="Times New Roman"/>
        </w:rPr>
        <w:t xml:space="preserve"> contracts and agreements.</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Before an award is issued, informal conversations between the PI and the sponsor's program official may take place regarding issues such as the scope of work, project objectives, or budget.</w:t>
      </w:r>
      <w:r>
        <w:rPr>
          <w:sz w:val="22"/>
          <w:szCs w:val="22"/>
        </w:rPr>
        <w:t xml:space="preserve">  </w:t>
      </w:r>
      <w:r w:rsidRPr="008E3AF9">
        <w:rPr>
          <w:sz w:val="22"/>
          <w:szCs w:val="22"/>
        </w:rPr>
        <w:t>PIs</w:t>
      </w:r>
      <w:r>
        <w:rPr>
          <w:sz w:val="22"/>
          <w:szCs w:val="22"/>
        </w:rPr>
        <w:t>/PDs</w:t>
      </w:r>
      <w:r w:rsidRPr="008E3AF9">
        <w:rPr>
          <w:sz w:val="22"/>
          <w:szCs w:val="22"/>
        </w:rPr>
        <w:t xml:space="preserve"> are cautioned not to negotiate any such matters, since conflicts with University policy may develop that make subsequent negotiations difficult.  Negotiations conducted without OCG involvement are unofficial and not binding and should be carefully explained as such to sponsors.</w:t>
      </w:r>
    </w:p>
    <w:p w:rsidR="003066E5" w:rsidRPr="008E3AF9" w:rsidRDefault="003066E5" w:rsidP="00FE5783">
      <w:pPr>
        <w:pStyle w:val="NormalWeb"/>
        <w:spacing w:before="0" w:beforeAutospacing="0" w:after="0" w:afterAutospacing="0" w:line="20" w:lineRule="atLeast"/>
        <w:rPr>
          <w:b/>
          <w:sz w:val="22"/>
          <w:szCs w:val="22"/>
        </w:rPr>
      </w:pPr>
    </w:p>
    <w:p w:rsidR="003066E5" w:rsidRPr="008E3AF9" w:rsidRDefault="003066E5" w:rsidP="00FE5783">
      <w:pPr>
        <w:pStyle w:val="NormalWeb"/>
        <w:spacing w:before="0" w:beforeAutospacing="0" w:after="0" w:afterAutospacing="0" w:line="20" w:lineRule="atLeast"/>
        <w:rPr>
          <w:b/>
          <w:i/>
          <w:sz w:val="22"/>
          <w:szCs w:val="22"/>
        </w:rPr>
      </w:pPr>
      <w:proofErr w:type="spellStart"/>
      <w:r w:rsidRPr="008E3AF9">
        <w:rPr>
          <w:b/>
          <w:i/>
          <w:sz w:val="22"/>
          <w:szCs w:val="22"/>
        </w:rPr>
        <w:t>Subawards</w:t>
      </w:r>
      <w:proofErr w:type="spellEnd"/>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 xml:space="preserve">A </w:t>
      </w:r>
      <w:proofErr w:type="spellStart"/>
      <w:r w:rsidRPr="008E3AF9">
        <w:rPr>
          <w:rFonts w:ascii="Times New Roman" w:hAnsi="Times New Roman"/>
        </w:rPr>
        <w:t>subaward</w:t>
      </w:r>
      <w:proofErr w:type="spellEnd"/>
      <w:r w:rsidRPr="008E3AF9">
        <w:rPr>
          <w:rFonts w:ascii="Times New Roman" w:hAnsi="Times New Roman"/>
        </w:rPr>
        <w:t xml:space="preserve"> is necessary when the PI</w:t>
      </w:r>
      <w:r>
        <w:rPr>
          <w:rFonts w:ascii="Times New Roman" w:hAnsi="Times New Roman"/>
        </w:rPr>
        <w:t>/PD</w:t>
      </w:r>
      <w:r w:rsidRPr="008E3AF9">
        <w:rPr>
          <w:rFonts w:ascii="Times New Roman" w:hAnsi="Times New Roman"/>
        </w:rPr>
        <w:t xml:space="preserve"> requests another organization to perform a significant portion of the work under a sponsored award.  Sponsor approval to enter into a </w:t>
      </w:r>
      <w:proofErr w:type="spellStart"/>
      <w:r w:rsidRPr="008E3AF9">
        <w:rPr>
          <w:rFonts w:ascii="Times New Roman" w:hAnsi="Times New Roman"/>
        </w:rPr>
        <w:t>subaward</w:t>
      </w:r>
      <w:proofErr w:type="spellEnd"/>
      <w:r w:rsidRPr="008E3AF9">
        <w:rPr>
          <w:rFonts w:ascii="Times New Roman" w:hAnsi="Times New Roman"/>
        </w:rPr>
        <w:t xml:space="preserve"> is usually required, unless approved in the award. </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 xml:space="preserve">USF is responsible for preparing and executing all </w:t>
      </w:r>
      <w:proofErr w:type="spellStart"/>
      <w:r w:rsidRPr="008E3AF9">
        <w:rPr>
          <w:rFonts w:ascii="Times New Roman" w:hAnsi="Times New Roman"/>
        </w:rPr>
        <w:t>subawards</w:t>
      </w:r>
      <w:proofErr w:type="spellEnd"/>
      <w:r w:rsidRPr="008E3AF9">
        <w:rPr>
          <w:rFonts w:ascii="Times New Roman" w:hAnsi="Times New Roman"/>
        </w:rPr>
        <w:t xml:space="preserve"> related to sponsored programs. </w:t>
      </w:r>
      <w:r>
        <w:rPr>
          <w:rFonts w:ascii="Times New Roman" w:hAnsi="Times New Roman"/>
        </w:rPr>
        <w:t xml:space="preserve">OCG will determine if the </w:t>
      </w:r>
      <w:proofErr w:type="spellStart"/>
      <w:r>
        <w:rPr>
          <w:rFonts w:ascii="Times New Roman" w:hAnsi="Times New Roman"/>
        </w:rPr>
        <w:t>subrecipient</w:t>
      </w:r>
      <w:proofErr w:type="spellEnd"/>
      <w:r>
        <w:rPr>
          <w:rFonts w:ascii="Times New Roman" w:hAnsi="Times New Roman"/>
        </w:rPr>
        <w:t xml:space="preserve"> is an appropriate partner and will </w:t>
      </w:r>
      <w:r w:rsidRPr="008E3AF9">
        <w:rPr>
          <w:rFonts w:ascii="Times New Roman" w:hAnsi="Times New Roman"/>
        </w:rPr>
        <w:t>work with the PI</w:t>
      </w:r>
      <w:r>
        <w:rPr>
          <w:rFonts w:ascii="Times New Roman" w:hAnsi="Times New Roman"/>
        </w:rPr>
        <w:t>/PD</w:t>
      </w:r>
      <w:r w:rsidRPr="008E3AF9">
        <w:rPr>
          <w:rFonts w:ascii="Times New Roman" w:hAnsi="Times New Roman"/>
        </w:rPr>
        <w:t xml:space="preserve"> to obtain the information needed to prepare the </w:t>
      </w:r>
      <w:proofErr w:type="spellStart"/>
      <w:r w:rsidRPr="008E3AF9">
        <w:rPr>
          <w:rFonts w:ascii="Times New Roman" w:hAnsi="Times New Roman"/>
        </w:rPr>
        <w:t>subaward</w:t>
      </w:r>
      <w:proofErr w:type="spellEnd"/>
      <w:r w:rsidRPr="008E3AF9">
        <w:rPr>
          <w:rFonts w:ascii="Times New Roman" w:hAnsi="Times New Roman"/>
        </w:rPr>
        <w:t xml:space="preserve">. </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autoSpaceDE w:val="0"/>
        <w:autoSpaceDN w:val="0"/>
        <w:adjustRightInd w:val="0"/>
        <w:spacing w:after="0" w:line="20" w:lineRule="atLeast"/>
        <w:rPr>
          <w:rFonts w:ascii="Times New Roman" w:hAnsi="Times New Roman"/>
        </w:rPr>
      </w:pPr>
      <w:r>
        <w:rPr>
          <w:rFonts w:ascii="Times New Roman" w:hAnsi="Times New Roman"/>
        </w:rPr>
        <w:t xml:space="preserve">The OCG will prepare all </w:t>
      </w:r>
      <w:proofErr w:type="spellStart"/>
      <w:r>
        <w:rPr>
          <w:rFonts w:ascii="Times New Roman" w:hAnsi="Times New Roman"/>
        </w:rPr>
        <w:t>subaward</w:t>
      </w:r>
      <w:proofErr w:type="spellEnd"/>
      <w:r>
        <w:rPr>
          <w:rFonts w:ascii="Times New Roman" w:hAnsi="Times New Roman"/>
        </w:rPr>
        <w:t xml:space="preserve"> documents.  </w:t>
      </w:r>
      <w:r w:rsidRPr="008E3AF9">
        <w:rPr>
          <w:rFonts w:ascii="Times New Roman" w:hAnsi="Times New Roman"/>
        </w:rPr>
        <w:t xml:space="preserve">A </w:t>
      </w:r>
      <w:proofErr w:type="spellStart"/>
      <w:r w:rsidRPr="008E3AF9">
        <w:rPr>
          <w:rFonts w:ascii="Times New Roman" w:hAnsi="Times New Roman"/>
        </w:rPr>
        <w:t>subaward</w:t>
      </w:r>
      <w:proofErr w:type="spellEnd"/>
      <w:r w:rsidRPr="008E3AF9">
        <w:rPr>
          <w:rFonts w:ascii="Times New Roman" w:hAnsi="Times New Roman"/>
        </w:rPr>
        <w:t xml:space="preserve"> must incorporate all terms and conditions required by the prime grant or contract. A subcontractor is not authorized to begin work until a </w:t>
      </w:r>
      <w:proofErr w:type="spellStart"/>
      <w:r w:rsidRPr="008E3AF9">
        <w:rPr>
          <w:rFonts w:ascii="Times New Roman" w:hAnsi="Times New Roman"/>
        </w:rPr>
        <w:t>subaward</w:t>
      </w:r>
      <w:proofErr w:type="spellEnd"/>
      <w:r w:rsidRPr="008E3AF9">
        <w:rPr>
          <w:rFonts w:ascii="Times New Roman" w:hAnsi="Times New Roman"/>
        </w:rPr>
        <w:t xml:space="preserve"> has been fully executed by an </w:t>
      </w:r>
      <w:r w:rsidRPr="004425BD">
        <w:rPr>
          <w:rFonts w:ascii="Times New Roman" w:hAnsi="Times New Roman"/>
        </w:rPr>
        <w:t>authorized representative (i.e.</w:t>
      </w:r>
      <w:r>
        <w:rPr>
          <w:rFonts w:ascii="Times New Roman" w:hAnsi="Times New Roman"/>
        </w:rPr>
        <w:t>, Provost</w:t>
      </w:r>
      <w:r w:rsidRPr="004425BD">
        <w:rPr>
          <w:rFonts w:ascii="Times New Roman" w:hAnsi="Times New Roman"/>
        </w:rPr>
        <w:t xml:space="preserve"> or President) from the University</w:t>
      </w:r>
      <w:r w:rsidRPr="00BD26DB">
        <w:rPr>
          <w:rFonts w:ascii="Times New Roman" w:hAnsi="Times New Roman"/>
        </w:rPr>
        <w:t xml:space="preserve"> </w:t>
      </w:r>
      <w:r w:rsidRPr="008E3AF9">
        <w:rPr>
          <w:rFonts w:ascii="Times New Roman" w:hAnsi="Times New Roman"/>
        </w:rPr>
        <w:t xml:space="preserve">and the </w:t>
      </w:r>
      <w:proofErr w:type="spellStart"/>
      <w:r w:rsidRPr="008E3AF9">
        <w:rPr>
          <w:rFonts w:ascii="Times New Roman" w:hAnsi="Times New Roman"/>
        </w:rPr>
        <w:t>subawardee</w:t>
      </w:r>
      <w:proofErr w:type="spellEnd"/>
      <w:r w:rsidRPr="008E3AF9">
        <w:rPr>
          <w:rFonts w:ascii="Times New Roman" w:hAnsi="Times New Roman"/>
        </w:rPr>
        <w:t xml:space="preserve"> organization.  All </w:t>
      </w:r>
      <w:proofErr w:type="spellStart"/>
      <w:r w:rsidRPr="008E3AF9">
        <w:rPr>
          <w:rFonts w:ascii="Times New Roman" w:hAnsi="Times New Roman"/>
        </w:rPr>
        <w:t>subaward</w:t>
      </w:r>
      <w:proofErr w:type="spellEnd"/>
      <w:r w:rsidRPr="008E3AF9">
        <w:rPr>
          <w:rFonts w:ascii="Times New Roman" w:hAnsi="Times New Roman"/>
        </w:rPr>
        <w:t xml:space="preserve"> invoices are submitted through OCG for payment.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rPr>
          <w:i/>
          <w:sz w:val="22"/>
          <w:szCs w:val="22"/>
        </w:rPr>
      </w:pPr>
      <w:r w:rsidRPr="008E3AF9">
        <w:rPr>
          <w:i/>
          <w:sz w:val="22"/>
          <w:szCs w:val="22"/>
        </w:rPr>
        <w:t xml:space="preserve">Refer to the </w:t>
      </w:r>
      <w:r w:rsidRPr="00797395">
        <w:rPr>
          <w:b/>
          <w:i/>
          <w:sz w:val="22"/>
          <w:szCs w:val="22"/>
        </w:rPr>
        <w:t xml:space="preserve">USF </w:t>
      </w:r>
      <w:proofErr w:type="spellStart"/>
      <w:r w:rsidRPr="00797395">
        <w:rPr>
          <w:b/>
          <w:i/>
          <w:sz w:val="22"/>
          <w:szCs w:val="22"/>
        </w:rPr>
        <w:t>Subaward</w:t>
      </w:r>
      <w:proofErr w:type="spellEnd"/>
      <w:r w:rsidRPr="00797395">
        <w:rPr>
          <w:b/>
          <w:i/>
          <w:sz w:val="22"/>
          <w:szCs w:val="22"/>
        </w:rPr>
        <w:t xml:space="preserve"> Policy and Procedures</w:t>
      </w:r>
      <w:r w:rsidRPr="008E3AF9">
        <w:rPr>
          <w:i/>
          <w:sz w:val="22"/>
          <w:szCs w:val="22"/>
        </w:rPr>
        <w:t xml:space="preserve"> (dated </w:t>
      </w:r>
      <w:r>
        <w:rPr>
          <w:i/>
          <w:sz w:val="22"/>
          <w:szCs w:val="22"/>
        </w:rPr>
        <w:t>7</w:t>
      </w:r>
      <w:r w:rsidRPr="008E3AF9">
        <w:rPr>
          <w:i/>
          <w:sz w:val="22"/>
          <w:szCs w:val="22"/>
        </w:rPr>
        <w:t>/</w:t>
      </w:r>
      <w:r>
        <w:rPr>
          <w:i/>
          <w:sz w:val="22"/>
          <w:szCs w:val="22"/>
        </w:rPr>
        <w:t>30/11</w:t>
      </w:r>
      <w:r w:rsidRPr="008E3AF9">
        <w:rPr>
          <w:i/>
          <w:sz w:val="22"/>
          <w:szCs w:val="22"/>
        </w:rPr>
        <w:t xml:space="preserve">) for additional guidelines and requirements of </w:t>
      </w:r>
      <w:proofErr w:type="spellStart"/>
      <w:r w:rsidRPr="008E3AF9">
        <w:rPr>
          <w:i/>
          <w:sz w:val="22"/>
          <w:szCs w:val="22"/>
        </w:rPr>
        <w:t>subawards</w:t>
      </w:r>
      <w:proofErr w:type="spellEnd"/>
      <w:r w:rsidRPr="008E3AF9">
        <w:rPr>
          <w:i/>
          <w:sz w:val="22"/>
          <w:szCs w:val="22"/>
        </w:rPr>
        <w:t>.</w:t>
      </w:r>
    </w:p>
    <w:p w:rsidR="003066E5" w:rsidRDefault="003066E5" w:rsidP="00FE5783">
      <w:pPr>
        <w:pStyle w:val="NormalWeb"/>
        <w:spacing w:before="0" w:beforeAutospacing="0" w:after="0" w:afterAutospacing="0" w:line="20" w:lineRule="atLeast"/>
        <w:rPr>
          <w:sz w:val="22"/>
          <w:szCs w:val="22"/>
        </w:rPr>
      </w:pPr>
    </w:p>
    <w:p w:rsidR="00637560" w:rsidRDefault="00637560" w:rsidP="00FE5783">
      <w:pPr>
        <w:pStyle w:val="NormalWeb"/>
        <w:spacing w:before="0" w:beforeAutospacing="0" w:after="0" w:afterAutospacing="0" w:line="20" w:lineRule="atLeast"/>
        <w:rPr>
          <w:sz w:val="22"/>
          <w:szCs w:val="22"/>
        </w:rPr>
      </w:pPr>
    </w:p>
    <w:p w:rsidR="00637560" w:rsidRDefault="00637560" w:rsidP="00FE5783">
      <w:pPr>
        <w:pStyle w:val="NormalWeb"/>
        <w:spacing w:before="0" w:beforeAutospacing="0" w:after="0" w:afterAutospacing="0" w:line="20" w:lineRule="atLeast"/>
        <w:rPr>
          <w:sz w:val="22"/>
          <w:szCs w:val="22"/>
        </w:rPr>
      </w:pPr>
    </w:p>
    <w:p w:rsidR="00637560" w:rsidRPr="008E3AF9" w:rsidRDefault="00637560" w:rsidP="00FE5783">
      <w:pPr>
        <w:pStyle w:val="NormalWeb"/>
        <w:spacing w:before="0" w:beforeAutospacing="0" w:after="0" w:afterAutospacing="0" w:line="20" w:lineRule="atLeast"/>
        <w:rPr>
          <w:sz w:val="22"/>
          <w:szCs w:val="22"/>
        </w:rPr>
      </w:pPr>
    </w:p>
    <w:p w:rsidR="003066E5" w:rsidRPr="008E3AF9" w:rsidRDefault="003066E5" w:rsidP="00FE5783">
      <w:pPr>
        <w:pStyle w:val="Heading1"/>
        <w:numPr>
          <w:ilvl w:val="0"/>
          <w:numId w:val="36"/>
        </w:numPr>
        <w:rPr>
          <w:szCs w:val="22"/>
        </w:rPr>
      </w:pPr>
      <w:r w:rsidRPr="008E3AF9">
        <w:rPr>
          <w:szCs w:val="22"/>
        </w:rPr>
        <w:lastRenderedPageBreak/>
        <w:t xml:space="preserve"> </w:t>
      </w:r>
      <w:bookmarkStart w:id="18" w:name="_Toc405369378"/>
      <w:r w:rsidRPr="008E3AF9">
        <w:rPr>
          <w:szCs w:val="22"/>
        </w:rPr>
        <w:t>Award Acceptance</w:t>
      </w:r>
      <w:bookmarkEnd w:id="18"/>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When a sponsor has approved a proposal for funding, the University will receive notice that an award has been made or a contract is being prepared.  This notice may come in the form of a contract, grant, email notification, or award letter. The notice may be sent to the OCG or to the PI</w:t>
      </w:r>
      <w:r>
        <w:rPr>
          <w:sz w:val="22"/>
          <w:szCs w:val="22"/>
        </w:rPr>
        <w:t>/PD</w:t>
      </w:r>
      <w:r w:rsidRPr="008E3AF9">
        <w:rPr>
          <w:sz w:val="22"/>
          <w:szCs w:val="22"/>
        </w:rPr>
        <w:t>.  If the PI</w:t>
      </w:r>
      <w:r>
        <w:rPr>
          <w:sz w:val="22"/>
          <w:szCs w:val="22"/>
        </w:rPr>
        <w:t>/PD</w:t>
      </w:r>
      <w:r w:rsidRPr="008E3AF9">
        <w:rPr>
          <w:sz w:val="22"/>
          <w:szCs w:val="22"/>
        </w:rPr>
        <w:t xml:space="preserve"> receives such a notice, he / she must forward it to the OCG immediately to become part of the formal record of the award.  The OCG cannot administratively initiate the project without formal sponsor notification.</w:t>
      </w:r>
    </w:p>
    <w:p w:rsidR="003066E5" w:rsidRPr="008E3AF9" w:rsidRDefault="003066E5" w:rsidP="00FE5783">
      <w:pPr>
        <w:pStyle w:val="NormalWeb"/>
        <w:spacing w:before="0" w:beforeAutospacing="0" w:after="0" w:afterAutospacing="0" w:line="20" w:lineRule="atLeast"/>
        <w:rPr>
          <w:sz w:val="22"/>
          <w:szCs w:val="22"/>
        </w:rPr>
      </w:pPr>
    </w:p>
    <w:p w:rsidR="003066E5" w:rsidRDefault="003066E5" w:rsidP="00FE5783">
      <w:pPr>
        <w:pStyle w:val="NormalWeb"/>
        <w:spacing w:before="0" w:beforeAutospacing="0" w:after="0" w:afterAutospacing="0" w:line="20" w:lineRule="atLeast"/>
        <w:rPr>
          <w:sz w:val="22"/>
          <w:szCs w:val="22"/>
        </w:rPr>
      </w:pPr>
      <w:r w:rsidRPr="008E3AF9">
        <w:rPr>
          <w:sz w:val="22"/>
          <w:szCs w:val="22"/>
        </w:rPr>
        <w:t xml:space="preserve">When the OCG receives notice of an award, </w:t>
      </w:r>
      <w:r>
        <w:rPr>
          <w:sz w:val="22"/>
          <w:szCs w:val="22"/>
        </w:rPr>
        <w:t xml:space="preserve">the terms and conditions will be reviewed.  </w:t>
      </w:r>
      <w:r w:rsidRPr="008E3AF9">
        <w:rPr>
          <w:sz w:val="22"/>
          <w:szCs w:val="22"/>
        </w:rPr>
        <w:t xml:space="preserve">The OCG will manage any necessary award negotiations and the preparation of any additional documents requested by the sponsor during the course of those negotiations.  </w:t>
      </w:r>
    </w:p>
    <w:p w:rsidR="003066E5" w:rsidRDefault="003066E5" w:rsidP="00FE5783">
      <w:pPr>
        <w:pStyle w:val="NormalWeb"/>
        <w:spacing w:before="0" w:beforeAutospacing="0" w:after="0" w:afterAutospacing="0" w:line="20" w:lineRule="atLeast"/>
        <w:rPr>
          <w:sz w:val="22"/>
          <w:szCs w:val="22"/>
        </w:rPr>
      </w:pPr>
    </w:p>
    <w:p w:rsidR="003066E5" w:rsidRDefault="003066E5" w:rsidP="00FE5783">
      <w:pPr>
        <w:pStyle w:val="NormalWeb"/>
        <w:spacing w:before="0" w:beforeAutospacing="0" w:after="0" w:afterAutospacing="0" w:line="20" w:lineRule="atLeast"/>
        <w:rPr>
          <w:sz w:val="22"/>
          <w:szCs w:val="22"/>
        </w:rPr>
      </w:pPr>
      <w:r>
        <w:rPr>
          <w:sz w:val="22"/>
          <w:szCs w:val="22"/>
        </w:rPr>
        <w:t xml:space="preserve">If the award requires that a contract or agreement be initiated, it will be reviewed initially by the University’s legal counsel.  </w:t>
      </w:r>
      <w:r w:rsidRPr="008E3AF9">
        <w:rPr>
          <w:sz w:val="22"/>
          <w:szCs w:val="22"/>
        </w:rPr>
        <w:t>No award can be accepted until all sponsor terms and conditions have been reviewed and approved</w:t>
      </w:r>
      <w:r>
        <w:rPr>
          <w:sz w:val="22"/>
          <w:szCs w:val="22"/>
        </w:rPr>
        <w:t xml:space="preserve"> by the University’s legal </w:t>
      </w:r>
      <w:r w:rsidRPr="008E3AF9">
        <w:rPr>
          <w:sz w:val="22"/>
          <w:szCs w:val="22"/>
        </w:rPr>
        <w:t xml:space="preserve">counsel.  </w:t>
      </w:r>
    </w:p>
    <w:p w:rsidR="003066E5" w:rsidRDefault="003066E5" w:rsidP="00FE5783">
      <w:pPr>
        <w:pStyle w:val="NormalWeb"/>
        <w:spacing w:before="0" w:beforeAutospacing="0" w:after="0" w:afterAutospacing="0" w:line="20" w:lineRule="atLeast"/>
        <w:rPr>
          <w:sz w:val="22"/>
          <w:szCs w:val="22"/>
        </w:rPr>
      </w:pPr>
    </w:p>
    <w:p w:rsidR="00E0711F" w:rsidRDefault="003066E5" w:rsidP="00FE5783">
      <w:pPr>
        <w:pStyle w:val="NormalWeb"/>
        <w:spacing w:before="0" w:beforeAutospacing="0" w:after="0" w:afterAutospacing="0" w:line="20" w:lineRule="atLeast"/>
        <w:rPr>
          <w:sz w:val="22"/>
          <w:szCs w:val="22"/>
        </w:rPr>
      </w:pPr>
      <w:r>
        <w:rPr>
          <w:sz w:val="22"/>
          <w:szCs w:val="22"/>
        </w:rPr>
        <w:t>OCG will then prepare an award package that consists of the award letter, the budget and budget justification and the terms and conditions of the grant.  This package will be sent to the PI, the business manager, the Dean and the grants accountant.  The grants accountant will set up the grant in the financial system and advise the PI when the funds will be available.  If any review committee approvals are required, such as Institutional Review Board, the grant will not be setup in the financial system until all approvals have been obtained.</w:t>
      </w:r>
    </w:p>
    <w:p w:rsidR="003066E5" w:rsidRDefault="003066E5" w:rsidP="00FE5783">
      <w:pPr>
        <w:pStyle w:val="NormalWeb"/>
        <w:spacing w:before="0" w:beforeAutospacing="0" w:after="0" w:afterAutospacing="0" w:line="20" w:lineRule="atLeast"/>
        <w:rPr>
          <w:sz w:val="22"/>
          <w:szCs w:val="22"/>
        </w:rPr>
      </w:pPr>
      <w:r>
        <w:rPr>
          <w:sz w:val="22"/>
          <w:szCs w:val="22"/>
        </w:rPr>
        <w:t xml:space="preserve">    </w:t>
      </w:r>
    </w:p>
    <w:p w:rsidR="003066E5" w:rsidRPr="00E0711F" w:rsidRDefault="003066E5" w:rsidP="00FE5783">
      <w:pPr>
        <w:pStyle w:val="Heading2"/>
        <w:spacing w:before="0" w:beforeAutospacing="0" w:after="0" w:afterAutospacing="0" w:line="20" w:lineRule="atLeast"/>
        <w:rPr>
          <w:rFonts w:ascii="Times New Roman" w:hAnsi="Times New Roman"/>
          <w:bCs w:val="0"/>
          <w:i/>
          <w:color w:val="auto"/>
          <w:sz w:val="22"/>
          <w:szCs w:val="22"/>
        </w:rPr>
      </w:pPr>
      <w:bookmarkStart w:id="19" w:name="_Toc405369379"/>
      <w:r w:rsidRPr="008E3AF9">
        <w:rPr>
          <w:rStyle w:val="Strong"/>
          <w:rFonts w:ascii="Times New Roman" w:hAnsi="Times New Roman"/>
          <w:b/>
          <w:i/>
          <w:color w:val="auto"/>
          <w:sz w:val="22"/>
          <w:szCs w:val="22"/>
        </w:rPr>
        <w:t>Signature Authority for Awards</w:t>
      </w:r>
      <w:bookmarkEnd w:id="19"/>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 xml:space="preserve">The OCG officially notifies all relevant parties when an award has been accepted and fully executed. Many award instruments are received which require both sponsor and University signatures (bilateral agreement) before they become effective.  </w:t>
      </w:r>
      <w:r w:rsidRPr="004425BD">
        <w:rPr>
          <w:sz w:val="22"/>
          <w:szCs w:val="22"/>
          <w:u w:val="single"/>
        </w:rPr>
        <w:t xml:space="preserve">PIs, </w:t>
      </w:r>
      <w:r>
        <w:rPr>
          <w:sz w:val="22"/>
          <w:szCs w:val="22"/>
          <w:u w:val="single"/>
        </w:rPr>
        <w:t xml:space="preserve">PDs, </w:t>
      </w:r>
      <w:r w:rsidRPr="004425BD">
        <w:rPr>
          <w:sz w:val="22"/>
          <w:szCs w:val="22"/>
          <w:u w:val="single"/>
        </w:rPr>
        <w:t>Faculty, Deans, or Department Heads are not authorized to sign award documents on behalf of the University</w:t>
      </w:r>
      <w:r w:rsidRPr="008E3AF9">
        <w:rPr>
          <w:sz w:val="22"/>
          <w:szCs w:val="22"/>
        </w:rPr>
        <w:t xml:space="preserve">. </w:t>
      </w:r>
    </w:p>
    <w:p w:rsidR="003066E5" w:rsidRPr="008E3AF9" w:rsidRDefault="003066E5" w:rsidP="00FE5783">
      <w:pPr>
        <w:pStyle w:val="NormalWeb"/>
        <w:spacing w:before="0" w:beforeAutospacing="0" w:after="0" w:afterAutospacing="0" w:line="20" w:lineRule="atLeast"/>
        <w:rPr>
          <w:sz w:val="22"/>
          <w:szCs w:val="22"/>
        </w:rPr>
      </w:pPr>
    </w:p>
    <w:p w:rsidR="003066E5" w:rsidRPr="008E3AF9" w:rsidRDefault="003066E5" w:rsidP="00FE5783">
      <w:pPr>
        <w:pStyle w:val="NormalWeb"/>
        <w:spacing w:before="0" w:beforeAutospacing="0" w:after="0" w:afterAutospacing="0" w:line="20" w:lineRule="atLeast"/>
        <w:rPr>
          <w:sz w:val="22"/>
          <w:szCs w:val="22"/>
        </w:rPr>
      </w:pPr>
      <w:r w:rsidRPr="008E3AF9">
        <w:rPr>
          <w:sz w:val="22"/>
          <w:szCs w:val="22"/>
        </w:rPr>
        <w:t>For all contracts and grants that require an institutional signature, the following signature authorities apply:</w:t>
      </w:r>
    </w:p>
    <w:p w:rsidR="003066E5" w:rsidRDefault="003066E5" w:rsidP="007B49E4">
      <w:pPr>
        <w:pStyle w:val="NormalWeb"/>
        <w:numPr>
          <w:ilvl w:val="0"/>
          <w:numId w:val="25"/>
        </w:numPr>
        <w:tabs>
          <w:tab w:val="clear" w:pos="340"/>
          <w:tab w:val="num" w:pos="680"/>
        </w:tabs>
        <w:spacing w:before="0" w:beforeAutospacing="0" w:after="0" w:afterAutospacing="0" w:line="20" w:lineRule="atLeast"/>
        <w:ind w:left="680"/>
        <w:rPr>
          <w:sz w:val="22"/>
          <w:szCs w:val="22"/>
        </w:rPr>
      </w:pPr>
      <w:r w:rsidRPr="008E3AF9">
        <w:rPr>
          <w:sz w:val="22"/>
          <w:szCs w:val="22"/>
        </w:rPr>
        <w:t xml:space="preserve">Contracts must be written in the name of </w:t>
      </w:r>
      <w:r>
        <w:rPr>
          <w:sz w:val="22"/>
          <w:szCs w:val="22"/>
        </w:rPr>
        <w:t xml:space="preserve">the </w:t>
      </w:r>
      <w:r w:rsidRPr="008E3AF9">
        <w:rPr>
          <w:sz w:val="22"/>
          <w:szCs w:val="22"/>
        </w:rPr>
        <w:t>U</w:t>
      </w:r>
      <w:r>
        <w:rPr>
          <w:sz w:val="22"/>
          <w:szCs w:val="22"/>
        </w:rPr>
        <w:t xml:space="preserve">niversity of </w:t>
      </w:r>
      <w:r w:rsidRPr="008E3AF9">
        <w:rPr>
          <w:sz w:val="22"/>
          <w:szCs w:val="22"/>
        </w:rPr>
        <w:t>S</w:t>
      </w:r>
      <w:r>
        <w:rPr>
          <w:sz w:val="22"/>
          <w:szCs w:val="22"/>
        </w:rPr>
        <w:t xml:space="preserve">an </w:t>
      </w:r>
      <w:r w:rsidRPr="008E3AF9">
        <w:rPr>
          <w:sz w:val="22"/>
          <w:szCs w:val="22"/>
        </w:rPr>
        <w:t>F</w:t>
      </w:r>
      <w:r>
        <w:rPr>
          <w:sz w:val="22"/>
          <w:szCs w:val="22"/>
        </w:rPr>
        <w:t>rancisco</w:t>
      </w:r>
      <w:r w:rsidRPr="008E3AF9">
        <w:rPr>
          <w:sz w:val="22"/>
          <w:szCs w:val="22"/>
        </w:rPr>
        <w:t xml:space="preserve">, with signature lines for the Provost.  Only this individual, or her/his designee, can sign sponsored project contracts </w:t>
      </w:r>
      <w:r>
        <w:rPr>
          <w:sz w:val="22"/>
          <w:szCs w:val="22"/>
        </w:rPr>
        <w:t xml:space="preserve">or agreements </w:t>
      </w:r>
      <w:r w:rsidRPr="008E3AF9">
        <w:rPr>
          <w:sz w:val="22"/>
          <w:szCs w:val="22"/>
        </w:rPr>
        <w:t>on behalf of the University.</w:t>
      </w:r>
    </w:p>
    <w:p w:rsidR="003066E5" w:rsidRPr="008E3AF9" w:rsidRDefault="003066E5" w:rsidP="00FE5783">
      <w:pPr>
        <w:pStyle w:val="NormalWeb"/>
        <w:spacing w:before="0" w:beforeAutospacing="0" w:after="0" w:afterAutospacing="0" w:line="20" w:lineRule="atLeast"/>
        <w:ind w:left="680"/>
        <w:rPr>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20" w:name="_Toc405369380"/>
      <w:r w:rsidRPr="008E3AF9">
        <w:rPr>
          <w:rStyle w:val="Strong"/>
          <w:rFonts w:ascii="Times New Roman" w:hAnsi="Times New Roman"/>
          <w:b/>
          <w:i/>
          <w:color w:val="auto"/>
          <w:sz w:val="22"/>
          <w:szCs w:val="22"/>
        </w:rPr>
        <w:t>Transfer of Awards Between Institutions</w:t>
      </w:r>
      <w:bookmarkEnd w:id="20"/>
      <w:r w:rsidRPr="008E3AF9">
        <w:rPr>
          <w:rStyle w:val="Strong"/>
          <w:rFonts w:ascii="Times New Roman" w:hAnsi="Times New Roman"/>
          <w:b/>
          <w:i/>
          <w:color w:val="auto"/>
          <w:sz w:val="22"/>
          <w:szCs w:val="22"/>
        </w:rPr>
        <w:t xml:space="preserve"> </w:t>
      </w:r>
    </w:p>
    <w:p w:rsidR="003066E5" w:rsidRPr="008E3AF9" w:rsidRDefault="003066E5" w:rsidP="00FE5783">
      <w:pPr>
        <w:autoSpaceDE w:val="0"/>
        <w:autoSpaceDN w:val="0"/>
        <w:adjustRightInd w:val="0"/>
        <w:spacing w:after="0" w:line="20" w:lineRule="atLeast"/>
        <w:rPr>
          <w:rFonts w:ascii="Times New Roman" w:hAnsi="Times New Roman"/>
        </w:rPr>
      </w:pPr>
      <w:r w:rsidRPr="008E3AF9">
        <w:rPr>
          <w:rFonts w:ascii="Times New Roman" w:hAnsi="Times New Roman"/>
        </w:rPr>
        <w:t>The principal condition that must be met is to obtain the sponsor’s approval to transfer an award from one institution to another.</w:t>
      </w:r>
    </w:p>
    <w:p w:rsidR="003066E5" w:rsidRPr="008E3AF9" w:rsidRDefault="003066E5" w:rsidP="00FE5783">
      <w:pPr>
        <w:autoSpaceDE w:val="0"/>
        <w:autoSpaceDN w:val="0"/>
        <w:adjustRightInd w:val="0"/>
        <w:spacing w:after="0" w:line="20" w:lineRule="atLeast"/>
        <w:rPr>
          <w:rFonts w:ascii="Times New Roman" w:hAnsi="Times New Roman"/>
        </w:rPr>
      </w:pPr>
    </w:p>
    <w:p w:rsidR="003066E5" w:rsidRPr="008E3AF9" w:rsidRDefault="003066E5" w:rsidP="00FE5783">
      <w:pPr>
        <w:pStyle w:val="home"/>
        <w:spacing w:before="0" w:beforeAutospacing="0" w:after="0" w:afterAutospacing="0" w:line="20" w:lineRule="atLeast"/>
        <w:rPr>
          <w:sz w:val="22"/>
          <w:szCs w:val="22"/>
        </w:rPr>
      </w:pPr>
      <w:r w:rsidRPr="008E3AF9">
        <w:rPr>
          <w:sz w:val="22"/>
          <w:szCs w:val="22"/>
        </w:rPr>
        <w:t>All transfers of open grants and contracts must be approved in writing by both the sponsor and the Dean overseeing the area.  This is to avoid problems with the sponsor since the grant or contract is officially awarded to the University and not the PI</w:t>
      </w:r>
      <w:r>
        <w:rPr>
          <w:sz w:val="22"/>
          <w:szCs w:val="22"/>
        </w:rPr>
        <w:t>/PD</w:t>
      </w:r>
      <w:r w:rsidRPr="008E3AF9">
        <w:rPr>
          <w:sz w:val="22"/>
          <w:szCs w:val="22"/>
        </w:rPr>
        <w:t xml:space="preserve">.  The Dean needs to approve the move in order to make sure co-PIs and equipment issues are handled appropriately. </w:t>
      </w: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p>
    <w:p w:rsidR="003066E5" w:rsidRPr="008E3AF9" w:rsidRDefault="003066E5" w:rsidP="00FE5783">
      <w:pPr>
        <w:pStyle w:val="Heading2"/>
        <w:spacing w:before="0" w:beforeAutospacing="0" w:after="0" w:afterAutospacing="0" w:line="20" w:lineRule="atLeast"/>
        <w:rPr>
          <w:rStyle w:val="Strong"/>
          <w:rFonts w:ascii="Times New Roman" w:hAnsi="Times New Roman"/>
          <w:b/>
          <w:i/>
          <w:color w:val="auto"/>
          <w:sz w:val="22"/>
          <w:szCs w:val="22"/>
        </w:rPr>
      </w:pPr>
      <w:bookmarkStart w:id="21" w:name="_Toc405369381"/>
      <w:r w:rsidRPr="008E3AF9">
        <w:rPr>
          <w:rStyle w:val="Strong"/>
          <w:rFonts w:ascii="Times New Roman" w:hAnsi="Times New Roman"/>
          <w:b/>
          <w:i/>
          <w:color w:val="auto"/>
          <w:sz w:val="22"/>
          <w:szCs w:val="22"/>
        </w:rPr>
        <w:t>Utilization of Advance Account if the Execution of the Grant Documents are Delayed</w:t>
      </w:r>
      <w:bookmarkEnd w:id="21"/>
    </w:p>
    <w:p w:rsidR="003066E5" w:rsidRPr="008E3AF9" w:rsidRDefault="003066E5" w:rsidP="00FE5783">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USF generally does not allow establishing a project fund number before a letter of award is received. However, if effective and economical conduct of the project necessitates incurring expenditures prior to final acceptance of the award, the policy is as follows: </w:t>
      </w:r>
    </w:p>
    <w:p w:rsidR="003066E5" w:rsidRPr="008E3AF9" w:rsidRDefault="003066E5" w:rsidP="00FE5783">
      <w:pPr>
        <w:autoSpaceDE w:val="0"/>
        <w:autoSpaceDN w:val="0"/>
        <w:adjustRightInd w:val="0"/>
        <w:spacing w:after="0" w:line="20" w:lineRule="atLeast"/>
        <w:rPr>
          <w:rFonts w:ascii="Times New Roman" w:hAnsi="Times New Roman"/>
          <w:color w:val="000000"/>
        </w:rPr>
      </w:pPr>
    </w:p>
    <w:p w:rsidR="003066E5" w:rsidRDefault="003066E5" w:rsidP="00FE5783">
      <w:pPr>
        <w:numPr>
          <w:ilvl w:val="0"/>
          <w:numId w:val="34"/>
        </w:num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Principal Investigators should contact OCG to initiate a preliminary fund. The OCG will minimize the University’s risk by verifying the anticipated award amount and performance period with the sponsor. Together with the appropriate Dean, the PI and college/school are now required </w:t>
      </w:r>
      <w:r w:rsidRPr="008E3AF9">
        <w:rPr>
          <w:rFonts w:ascii="Times New Roman" w:hAnsi="Times New Roman"/>
          <w:color w:val="000000"/>
        </w:rPr>
        <w:lastRenderedPageBreak/>
        <w:t xml:space="preserve">to agree in writing to cover any expenditure, should the award ultimately not be made, the anticipated start date change, or costs incurred are deemed to not be allowable. </w:t>
      </w:r>
    </w:p>
    <w:p w:rsidR="00CA011C" w:rsidRDefault="00CA011C" w:rsidP="00CA011C">
      <w:pPr>
        <w:autoSpaceDE w:val="0"/>
        <w:autoSpaceDN w:val="0"/>
        <w:adjustRightInd w:val="0"/>
        <w:spacing w:after="0" w:line="20" w:lineRule="atLeast"/>
        <w:rPr>
          <w:rFonts w:ascii="Times New Roman" w:hAnsi="Times New Roman"/>
          <w:color w:val="000000"/>
        </w:rPr>
      </w:pPr>
    </w:p>
    <w:p w:rsidR="00CA011C" w:rsidRPr="00656C02" w:rsidRDefault="00CA011C" w:rsidP="00CA011C">
      <w:pPr>
        <w:autoSpaceDE w:val="0"/>
        <w:autoSpaceDN w:val="0"/>
        <w:adjustRightInd w:val="0"/>
        <w:spacing w:after="0" w:line="20" w:lineRule="atLeast"/>
        <w:rPr>
          <w:rFonts w:ascii="Times New Roman" w:hAnsi="Times New Roman"/>
          <w:b/>
          <w:i/>
          <w:color w:val="000000"/>
          <w:highlight w:val="yellow"/>
        </w:rPr>
      </w:pPr>
      <w:r w:rsidRPr="00656C02">
        <w:rPr>
          <w:rFonts w:ascii="Times New Roman" w:hAnsi="Times New Roman"/>
          <w:b/>
          <w:i/>
          <w:color w:val="000000"/>
          <w:highlight w:val="yellow"/>
        </w:rPr>
        <w:t>Cash Advanc</w:t>
      </w:r>
      <w:r w:rsidR="00392E1F">
        <w:rPr>
          <w:rFonts w:ascii="Times New Roman" w:hAnsi="Times New Roman"/>
          <w:b/>
          <w:i/>
          <w:color w:val="000000"/>
          <w:highlight w:val="yellow"/>
        </w:rPr>
        <w:t>e Request</w:t>
      </w:r>
    </w:p>
    <w:p w:rsidR="00312027" w:rsidRDefault="00312027" w:rsidP="00CA011C">
      <w:pPr>
        <w:pStyle w:val="ListParagraph"/>
        <w:numPr>
          <w:ilvl w:val="0"/>
          <w:numId w:val="34"/>
        </w:numPr>
        <w:autoSpaceDE w:val="0"/>
        <w:autoSpaceDN w:val="0"/>
        <w:adjustRightInd w:val="0"/>
        <w:spacing w:after="0" w:line="20" w:lineRule="atLeast"/>
        <w:rPr>
          <w:rFonts w:ascii="Times New Roman" w:hAnsi="Times New Roman"/>
          <w:color w:val="000000"/>
          <w:highlight w:val="yellow"/>
        </w:rPr>
      </w:pPr>
      <w:r>
        <w:rPr>
          <w:rFonts w:ascii="Times New Roman" w:hAnsi="Times New Roman"/>
          <w:color w:val="000000"/>
          <w:highlight w:val="yellow"/>
        </w:rPr>
        <w:t xml:space="preserve">Cash advances cannot be made from a grant account.  </w:t>
      </w:r>
      <w:r w:rsidR="00392E1F">
        <w:rPr>
          <w:rFonts w:ascii="Times New Roman" w:hAnsi="Times New Roman"/>
          <w:color w:val="000000"/>
          <w:highlight w:val="yellow"/>
        </w:rPr>
        <w:t xml:space="preserve">When a cash advance is requested, the Principal Investigator is </w:t>
      </w:r>
      <w:r>
        <w:rPr>
          <w:rFonts w:ascii="Times New Roman" w:hAnsi="Times New Roman"/>
          <w:color w:val="000000"/>
          <w:highlight w:val="yellow"/>
        </w:rPr>
        <w:t>using University funds.  At the time that the cash advance is reconciled,  allowable expenditures can be moved to the grant.  If there are no grant funds available at the time that the cash advance is reconciled, the P</w:t>
      </w:r>
      <w:r w:rsidR="00392E1F">
        <w:rPr>
          <w:rFonts w:ascii="Times New Roman" w:hAnsi="Times New Roman"/>
          <w:color w:val="000000"/>
          <w:highlight w:val="yellow"/>
        </w:rPr>
        <w:t xml:space="preserve">rincipal Investigator will need to use another account, such as </w:t>
      </w:r>
      <w:r>
        <w:rPr>
          <w:rFonts w:ascii="Times New Roman" w:hAnsi="Times New Roman"/>
          <w:color w:val="000000"/>
          <w:highlight w:val="yellow"/>
        </w:rPr>
        <w:t>Faculty Development Funds</w:t>
      </w:r>
      <w:r w:rsidR="00B94B08">
        <w:rPr>
          <w:rFonts w:ascii="Times New Roman" w:hAnsi="Times New Roman"/>
          <w:color w:val="000000"/>
          <w:highlight w:val="yellow"/>
        </w:rPr>
        <w:t>.  The P</w:t>
      </w:r>
      <w:r w:rsidR="00392E1F">
        <w:rPr>
          <w:rFonts w:ascii="Times New Roman" w:hAnsi="Times New Roman"/>
          <w:color w:val="000000"/>
          <w:highlight w:val="yellow"/>
        </w:rPr>
        <w:t xml:space="preserve">rincipal Investigator and </w:t>
      </w:r>
      <w:r w:rsidR="00B94B08">
        <w:rPr>
          <w:rFonts w:ascii="Times New Roman" w:hAnsi="Times New Roman"/>
          <w:color w:val="000000"/>
          <w:highlight w:val="yellow"/>
        </w:rPr>
        <w:t>the appropriate Business Manager should notify OCG when requesting an advance</w:t>
      </w:r>
      <w:r w:rsidR="00392E1F">
        <w:rPr>
          <w:rFonts w:ascii="Times New Roman" w:hAnsi="Times New Roman"/>
          <w:color w:val="000000"/>
          <w:highlight w:val="yellow"/>
        </w:rPr>
        <w:t xml:space="preserve"> so that these funds can be encumbered.</w:t>
      </w:r>
    </w:p>
    <w:p w:rsidR="003066E5" w:rsidRPr="008E3AF9" w:rsidRDefault="003066E5" w:rsidP="00CA011C">
      <w:pPr>
        <w:pStyle w:val="home"/>
        <w:spacing w:before="0" w:beforeAutospacing="0" w:after="0" w:afterAutospacing="0" w:line="20" w:lineRule="atLeast"/>
        <w:ind w:left="720"/>
        <w:rPr>
          <w:sz w:val="22"/>
          <w:szCs w:val="22"/>
        </w:rPr>
      </w:pPr>
    </w:p>
    <w:p w:rsidR="003066E5" w:rsidRPr="008E3AF9" w:rsidRDefault="003066E5" w:rsidP="00FE5783">
      <w:pPr>
        <w:pStyle w:val="home"/>
        <w:spacing w:before="0" w:beforeAutospacing="0" w:after="0" w:afterAutospacing="0" w:line="20" w:lineRule="atLeast"/>
        <w:ind w:left="360"/>
        <w:rPr>
          <w:sz w:val="22"/>
          <w:szCs w:val="22"/>
        </w:rPr>
      </w:pPr>
    </w:p>
    <w:p w:rsidR="003066E5" w:rsidRPr="008E3AF9" w:rsidRDefault="003066E5" w:rsidP="00FE5783">
      <w:pPr>
        <w:pStyle w:val="Heading1"/>
        <w:numPr>
          <w:ilvl w:val="0"/>
          <w:numId w:val="36"/>
        </w:numPr>
        <w:spacing w:before="0" w:after="0"/>
        <w:rPr>
          <w:szCs w:val="22"/>
        </w:rPr>
      </w:pPr>
      <w:bookmarkStart w:id="22" w:name="_Toc405369382"/>
      <w:r w:rsidRPr="008E3AF9">
        <w:rPr>
          <w:szCs w:val="22"/>
        </w:rPr>
        <w:t>Applicable Regulations</w:t>
      </w:r>
      <w:bookmarkEnd w:id="22"/>
    </w:p>
    <w:p w:rsidR="003066E5" w:rsidRPr="008E3AF9" w:rsidRDefault="003066E5" w:rsidP="00FE5783">
      <w:pPr>
        <w:pStyle w:val="ListParagraph"/>
        <w:spacing w:after="0" w:line="20" w:lineRule="atLeast"/>
        <w:ind w:left="0"/>
        <w:rPr>
          <w:rFonts w:ascii="Times New Roman" w:hAnsi="Times New Roman"/>
        </w:rPr>
      </w:pPr>
      <w:r w:rsidRPr="008E3AF9">
        <w:rPr>
          <w:rFonts w:ascii="Times New Roman" w:hAnsi="Times New Roman"/>
        </w:rPr>
        <w:t>The following is a list of some of the University and federal regulations that apply to federal awards to college and universities.</w:t>
      </w:r>
    </w:p>
    <w:p w:rsidR="003066E5" w:rsidRPr="008E3AF9" w:rsidRDefault="003066E5" w:rsidP="00FE5783">
      <w:pPr>
        <w:pStyle w:val="ListParagraph"/>
        <w:spacing w:after="0" w:line="20" w:lineRule="atLeast"/>
        <w:ind w:left="0"/>
        <w:rPr>
          <w:rFonts w:ascii="Times New Roman" w:hAnsi="Times New Roman"/>
        </w:rPr>
      </w:pPr>
    </w:p>
    <w:p w:rsidR="003066E5" w:rsidRPr="00797395" w:rsidRDefault="003066E5" w:rsidP="00FE5783">
      <w:pPr>
        <w:pStyle w:val="ListParagraph"/>
        <w:spacing w:after="0" w:line="20" w:lineRule="atLeast"/>
        <w:ind w:left="0"/>
        <w:rPr>
          <w:rFonts w:ascii="Times New Roman" w:hAnsi="Times New Roman"/>
          <w:b/>
          <w:i/>
        </w:rPr>
      </w:pPr>
      <w:r w:rsidRPr="00797395">
        <w:rPr>
          <w:rFonts w:ascii="Times New Roman" w:hAnsi="Times New Roman"/>
          <w:b/>
          <w:i/>
        </w:rPr>
        <w:t xml:space="preserve">USF </w:t>
      </w:r>
      <w:proofErr w:type="spellStart"/>
      <w:r w:rsidRPr="00797395">
        <w:rPr>
          <w:rFonts w:ascii="Times New Roman" w:hAnsi="Times New Roman"/>
          <w:b/>
          <w:i/>
        </w:rPr>
        <w:t>Subaward</w:t>
      </w:r>
      <w:proofErr w:type="spellEnd"/>
      <w:r w:rsidRPr="00797395">
        <w:rPr>
          <w:rFonts w:ascii="Times New Roman" w:hAnsi="Times New Roman"/>
          <w:b/>
          <w:i/>
        </w:rPr>
        <w:t xml:space="preserve"> Policy and Procedures</w:t>
      </w:r>
      <w:r w:rsidRPr="00797395">
        <w:rPr>
          <w:rFonts w:ascii="Times New Roman" w:hAnsi="Times New Roman"/>
          <w:i/>
        </w:rPr>
        <w:t xml:space="preserve"> (dated 7/</w:t>
      </w:r>
      <w:r>
        <w:rPr>
          <w:rFonts w:ascii="Times New Roman" w:hAnsi="Times New Roman"/>
          <w:i/>
        </w:rPr>
        <w:t>30</w:t>
      </w:r>
      <w:r w:rsidRPr="00797395">
        <w:rPr>
          <w:rFonts w:ascii="Times New Roman" w:hAnsi="Times New Roman"/>
          <w:i/>
        </w:rPr>
        <w:t>/11</w:t>
      </w:r>
      <w:r w:rsidR="00DC02D9">
        <w:rPr>
          <w:rFonts w:ascii="Times New Roman" w:hAnsi="Times New Roman"/>
          <w:i/>
        </w:rPr>
        <w:t>)</w:t>
      </w:r>
    </w:p>
    <w:p w:rsidR="003066E5" w:rsidRPr="008E3AF9" w:rsidRDefault="003066E5" w:rsidP="00FE5783">
      <w:pPr>
        <w:pStyle w:val="ListParagraph"/>
        <w:spacing w:after="0" w:line="20" w:lineRule="atLeast"/>
        <w:ind w:left="0"/>
        <w:rPr>
          <w:rFonts w:ascii="Times New Roman" w:hAnsi="Times New Roman"/>
        </w:rPr>
      </w:pPr>
    </w:p>
    <w:p w:rsidR="003066E5" w:rsidRPr="008E3AF9" w:rsidRDefault="003066E5" w:rsidP="00FE5783">
      <w:pPr>
        <w:pStyle w:val="ListParagraph"/>
        <w:spacing w:after="0" w:line="20" w:lineRule="atLeast"/>
        <w:ind w:left="0"/>
        <w:rPr>
          <w:rFonts w:ascii="Times New Roman" w:hAnsi="Times New Roman"/>
          <w:b/>
        </w:rPr>
      </w:pPr>
      <w:r w:rsidRPr="008E3AF9">
        <w:rPr>
          <w:rFonts w:ascii="Times New Roman" w:hAnsi="Times New Roman"/>
        </w:rPr>
        <w:t>USF Policy on Time and Effort Reporting for Federally Sponsored Projects (dated 4/2/04)</w:t>
      </w:r>
    </w:p>
    <w:p w:rsidR="003066E5" w:rsidRPr="008E3AF9" w:rsidRDefault="003066E5" w:rsidP="00FE5783">
      <w:pPr>
        <w:spacing w:after="0"/>
        <w:rPr>
          <w:rFonts w:ascii="Times New Roman" w:hAnsi="Times New Roman"/>
        </w:rPr>
      </w:pPr>
    </w:p>
    <w:p w:rsidR="003066E5" w:rsidRPr="008E3AF9" w:rsidRDefault="003066E5" w:rsidP="00FE5783">
      <w:pPr>
        <w:spacing w:after="0"/>
        <w:rPr>
          <w:rFonts w:ascii="Times New Roman" w:hAnsi="Times New Roman"/>
        </w:rPr>
      </w:pPr>
      <w:r w:rsidRPr="008E3AF9">
        <w:rPr>
          <w:rFonts w:ascii="Times New Roman" w:hAnsi="Times New Roman"/>
        </w:rPr>
        <w:t>Federal Office of Management and Budget (OMB) Circulars:</w:t>
      </w:r>
    </w:p>
    <w:p w:rsidR="003066E5" w:rsidRPr="00797395" w:rsidRDefault="00392E1F" w:rsidP="00FE5783">
      <w:pPr>
        <w:spacing w:after="0"/>
        <w:ind w:left="360"/>
        <w:rPr>
          <w:rFonts w:ascii="Times New Roman" w:hAnsi="Times New Roman"/>
          <w:color w:val="000000"/>
        </w:rPr>
      </w:pPr>
      <w:hyperlink r:id="rId13" w:history="1">
        <w:r w:rsidR="00527F3E">
          <w:rPr>
            <w:rFonts w:ascii="Times New Roman" w:hAnsi="Times New Roman"/>
            <w:i/>
            <w:iCs/>
            <w:color w:val="000000"/>
            <w:u w:val="single"/>
          </w:rPr>
          <w:t>OMB Uniform Guidance</w:t>
        </w:r>
      </w:hyperlink>
    </w:p>
    <w:p w:rsidR="003066E5" w:rsidRPr="00797395" w:rsidRDefault="00392E1F" w:rsidP="00FE5783">
      <w:pPr>
        <w:spacing w:after="0"/>
        <w:ind w:left="360"/>
        <w:rPr>
          <w:rFonts w:ascii="Times New Roman" w:hAnsi="Times New Roman"/>
          <w:color w:val="000000"/>
        </w:rPr>
      </w:pPr>
      <w:hyperlink r:id="rId14" w:history="1">
        <w:r w:rsidR="003066E5" w:rsidRPr="00797395">
          <w:rPr>
            <w:rFonts w:ascii="Times New Roman" w:hAnsi="Times New Roman"/>
            <w:i/>
            <w:iCs/>
            <w:color w:val="000000"/>
            <w:u w:val="single"/>
          </w:rPr>
          <w:t>OMB Circular A-110, Grants and Agreements With Institutions of Higher Education, Hospitals, and Other Non-Profit Organizations</w:t>
        </w:r>
        <w:r w:rsidR="003066E5" w:rsidRPr="00797395">
          <w:rPr>
            <w:rFonts w:ascii="Times New Roman" w:hAnsi="Times New Roman"/>
            <w:color w:val="000000"/>
            <w:u w:val="single"/>
          </w:rPr>
          <w:t xml:space="preserve"> </w:t>
        </w:r>
      </w:hyperlink>
    </w:p>
    <w:p w:rsidR="003066E5" w:rsidRPr="00797395" w:rsidRDefault="00392E1F" w:rsidP="00FE5783">
      <w:pPr>
        <w:spacing w:after="0"/>
        <w:ind w:left="360"/>
        <w:rPr>
          <w:rFonts w:ascii="Times New Roman" w:hAnsi="Times New Roman"/>
          <w:i/>
          <w:iCs/>
          <w:color w:val="000000"/>
          <w:u w:val="single"/>
        </w:rPr>
      </w:pPr>
      <w:hyperlink r:id="rId15" w:history="1">
        <w:r w:rsidR="003066E5" w:rsidRPr="00797395">
          <w:rPr>
            <w:rFonts w:ascii="Times New Roman" w:hAnsi="Times New Roman"/>
            <w:i/>
            <w:iCs/>
            <w:color w:val="000000"/>
            <w:u w:val="single"/>
          </w:rPr>
          <w:t>OMB Circular A-133, Audits of Institutions of Higher Education and Other Non-Profit Institutions</w:t>
        </w:r>
      </w:hyperlink>
    </w:p>
    <w:p w:rsidR="003066E5" w:rsidRDefault="003066E5" w:rsidP="00FE5783">
      <w:pPr>
        <w:pStyle w:val="ListParagraph"/>
        <w:spacing w:after="0" w:line="20" w:lineRule="atLeast"/>
        <w:ind w:left="0"/>
        <w:rPr>
          <w:rFonts w:ascii="Times New Roman" w:hAnsi="Times New Roman"/>
          <w:b/>
          <w:color w:val="000000"/>
        </w:rPr>
      </w:pPr>
    </w:p>
    <w:p w:rsidR="00637560" w:rsidRPr="00797395" w:rsidRDefault="00637560" w:rsidP="00FE5783">
      <w:pPr>
        <w:pStyle w:val="ListParagraph"/>
        <w:spacing w:after="0" w:line="20" w:lineRule="atLeast"/>
        <w:ind w:left="0"/>
        <w:rPr>
          <w:rFonts w:ascii="Times New Roman" w:hAnsi="Times New Roman"/>
          <w:b/>
          <w:color w:val="000000"/>
        </w:rPr>
      </w:pPr>
    </w:p>
    <w:p w:rsidR="003066E5" w:rsidRPr="008E3AF9" w:rsidRDefault="003066E5" w:rsidP="00D35807">
      <w:pPr>
        <w:pStyle w:val="Heading1"/>
        <w:numPr>
          <w:ilvl w:val="0"/>
          <w:numId w:val="36"/>
        </w:numPr>
        <w:spacing w:before="0" w:after="0"/>
        <w:rPr>
          <w:szCs w:val="22"/>
        </w:rPr>
      </w:pPr>
      <w:bookmarkStart w:id="23" w:name="_Toc405369383"/>
      <w:r w:rsidRPr="008E3AF9">
        <w:rPr>
          <w:szCs w:val="22"/>
        </w:rPr>
        <w:t>Certifications and Assurances</w:t>
      </w:r>
      <w:bookmarkEnd w:id="23"/>
    </w:p>
    <w:p w:rsidR="003066E5" w:rsidRPr="008E3AF9" w:rsidRDefault="003066E5" w:rsidP="00FE5783">
      <w:pPr>
        <w:autoSpaceDE w:val="0"/>
        <w:autoSpaceDN w:val="0"/>
        <w:adjustRightInd w:val="0"/>
        <w:spacing w:after="0" w:line="20" w:lineRule="atLeast"/>
        <w:rPr>
          <w:rFonts w:ascii="Times New Roman" w:hAnsi="Times New Roman"/>
          <w:b/>
        </w:rPr>
      </w:pPr>
      <w:r w:rsidRPr="008E3AF9">
        <w:rPr>
          <w:rFonts w:ascii="Times New Roman" w:hAnsi="Times New Roman"/>
        </w:rPr>
        <w:t xml:space="preserve">The federal government requires the University to submit a number of institutional assurances and certifications.  OCG prepares any/all required documents regarding: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Lobbying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Debarment and Suspension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Misconduct in Science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Non-Delinquency of Federal Debt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Drug-free Workplace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Affirmative Action </w:t>
      </w:r>
    </w:p>
    <w:p w:rsidR="003066E5" w:rsidRPr="008E3AF9" w:rsidRDefault="003066E5" w:rsidP="00FE5783">
      <w:pPr>
        <w:numPr>
          <w:ilvl w:val="0"/>
          <w:numId w:val="27"/>
        </w:numPr>
        <w:autoSpaceDE w:val="0"/>
        <w:autoSpaceDN w:val="0"/>
        <w:adjustRightInd w:val="0"/>
        <w:spacing w:after="0" w:line="20" w:lineRule="atLeast"/>
        <w:rPr>
          <w:rFonts w:ascii="Times New Roman" w:hAnsi="Times New Roman"/>
          <w:b/>
        </w:rPr>
      </w:pPr>
      <w:r w:rsidRPr="008E3AF9">
        <w:rPr>
          <w:rFonts w:ascii="Times New Roman" w:hAnsi="Times New Roman"/>
        </w:rPr>
        <w:t xml:space="preserve">Veterans, Disabled Veterans and Veterans of the Vietnam Era </w:t>
      </w:r>
    </w:p>
    <w:p w:rsidR="003066E5" w:rsidRPr="008E3AF9" w:rsidRDefault="003066E5" w:rsidP="00FE5783">
      <w:pPr>
        <w:autoSpaceDE w:val="0"/>
        <w:autoSpaceDN w:val="0"/>
        <w:adjustRightInd w:val="0"/>
        <w:spacing w:after="0" w:line="20" w:lineRule="atLeast"/>
        <w:ind w:left="360"/>
        <w:rPr>
          <w:rFonts w:ascii="Times New Roman" w:hAnsi="Times New Roman"/>
        </w:rPr>
      </w:pPr>
    </w:p>
    <w:p w:rsidR="003066E5" w:rsidRPr="008E3AF9" w:rsidRDefault="003066E5" w:rsidP="00DC02D9">
      <w:pPr>
        <w:autoSpaceDE w:val="0"/>
        <w:autoSpaceDN w:val="0"/>
        <w:adjustRightInd w:val="0"/>
        <w:spacing w:after="0" w:line="20" w:lineRule="atLeast"/>
        <w:rPr>
          <w:rFonts w:ascii="Times New Roman" w:hAnsi="Times New Roman"/>
          <w:b/>
        </w:rPr>
      </w:pPr>
      <w:r w:rsidRPr="008E3AF9">
        <w:rPr>
          <w:rFonts w:ascii="Times New Roman" w:hAnsi="Times New Roman"/>
        </w:rPr>
        <w:t>In addition, any required institutional assurances regarding human subjects, biohazards, radioactive materials, and recombinant DNA will be completed by OCG after the PI obtains approval of the appropriate University review committee.</w:t>
      </w:r>
    </w:p>
    <w:p w:rsidR="003066E5" w:rsidRDefault="003066E5"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E0711F" w:rsidRDefault="00E0711F" w:rsidP="00FE5783">
      <w:pPr>
        <w:spacing w:after="0" w:line="20" w:lineRule="atLeast"/>
        <w:rPr>
          <w:rFonts w:ascii="Times New Roman" w:hAnsi="Times New Roman"/>
        </w:rPr>
      </w:pPr>
    </w:p>
    <w:p w:rsidR="003066E5" w:rsidRPr="008E3AF9" w:rsidRDefault="003066E5" w:rsidP="00E17E58">
      <w:pPr>
        <w:pStyle w:val="Heading1"/>
        <w:rPr>
          <w:szCs w:val="22"/>
        </w:rPr>
      </w:pPr>
      <w:bookmarkStart w:id="24" w:name="_Toc405369384"/>
      <w:r w:rsidRPr="008E3AF9">
        <w:rPr>
          <w:szCs w:val="22"/>
        </w:rPr>
        <w:t>POST AWARD</w:t>
      </w:r>
      <w:bookmarkEnd w:id="24"/>
    </w:p>
    <w:p w:rsidR="003066E5" w:rsidRPr="008E3AF9" w:rsidRDefault="003066E5" w:rsidP="00D35807">
      <w:pPr>
        <w:pStyle w:val="Heading1"/>
        <w:numPr>
          <w:ilvl w:val="0"/>
          <w:numId w:val="47"/>
        </w:numPr>
        <w:rPr>
          <w:szCs w:val="22"/>
        </w:rPr>
      </w:pPr>
      <w:bookmarkStart w:id="25" w:name="_Toc405369385"/>
      <w:r w:rsidRPr="008E3AF9">
        <w:rPr>
          <w:szCs w:val="22"/>
        </w:rPr>
        <w:t>Establishing a Grant Account</w:t>
      </w:r>
      <w:bookmarkEnd w:id="25"/>
    </w:p>
    <w:p w:rsidR="003066E5" w:rsidRPr="008E3AF9" w:rsidRDefault="003066E5" w:rsidP="00797395">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The OCG in collaboration with the University’s Controller establishes a fund account for each sponsored program award. Expenditures are charged to the fund by the PI</w:t>
      </w:r>
      <w:r>
        <w:rPr>
          <w:rFonts w:ascii="Times New Roman" w:hAnsi="Times New Roman"/>
          <w:color w:val="000000"/>
        </w:rPr>
        <w:t>/PD</w:t>
      </w:r>
      <w:r w:rsidRPr="008E3AF9">
        <w:rPr>
          <w:rFonts w:ascii="Times New Roman" w:hAnsi="Times New Roman"/>
          <w:color w:val="000000"/>
        </w:rPr>
        <w:t xml:space="preserve"> or authorized individual.  This structure enables tracking and reporting of expenditures for each individual award. </w:t>
      </w:r>
    </w:p>
    <w:p w:rsidR="003066E5" w:rsidRPr="008E3AF9" w:rsidRDefault="003066E5" w:rsidP="00797395">
      <w:pPr>
        <w:autoSpaceDE w:val="0"/>
        <w:autoSpaceDN w:val="0"/>
        <w:adjustRightInd w:val="0"/>
        <w:spacing w:after="0" w:line="20" w:lineRule="atLeast"/>
        <w:rPr>
          <w:rFonts w:ascii="Times New Roman" w:hAnsi="Times New Roman"/>
          <w:color w:val="000000"/>
        </w:rPr>
      </w:pPr>
    </w:p>
    <w:p w:rsidR="003066E5" w:rsidRPr="008E3AF9" w:rsidRDefault="003066E5" w:rsidP="00797395">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The OCG establishes a fund when a contract award is fully executed.  The OCG assigns a fund number and notifies the PI of the fund number.  Once the PI receives the fund number, the PI or the school/college business manager can charge appropriate expenditures to it. </w:t>
      </w:r>
      <w:r w:rsidR="00D35807">
        <w:rPr>
          <w:rFonts w:ascii="Times New Roman" w:hAnsi="Times New Roman"/>
          <w:color w:val="000000"/>
        </w:rPr>
        <w:br/>
      </w:r>
    </w:p>
    <w:p w:rsidR="003066E5" w:rsidRPr="008E3AF9" w:rsidRDefault="003066E5" w:rsidP="00D35807">
      <w:pPr>
        <w:pStyle w:val="Heading1"/>
        <w:numPr>
          <w:ilvl w:val="0"/>
          <w:numId w:val="47"/>
        </w:numPr>
        <w:spacing w:line="240" w:lineRule="auto"/>
        <w:rPr>
          <w:szCs w:val="22"/>
        </w:rPr>
      </w:pPr>
      <w:bookmarkStart w:id="26" w:name="_Toc405369386"/>
      <w:r w:rsidRPr="008E3AF9">
        <w:rPr>
          <w:szCs w:val="22"/>
        </w:rPr>
        <w:t>Award Management</w:t>
      </w:r>
      <w:bookmarkEnd w:id="26"/>
    </w:p>
    <w:p w:rsidR="003066E5" w:rsidRPr="008E3AF9" w:rsidRDefault="003066E5" w:rsidP="00797395">
      <w:pPr>
        <w:autoSpaceDE w:val="0"/>
        <w:autoSpaceDN w:val="0"/>
        <w:adjustRightInd w:val="0"/>
        <w:spacing w:after="0" w:line="240" w:lineRule="auto"/>
        <w:rPr>
          <w:rFonts w:ascii="Times New Roman" w:hAnsi="Times New Roman"/>
        </w:rPr>
      </w:pPr>
      <w:r w:rsidRPr="008E3AF9">
        <w:rPr>
          <w:rFonts w:ascii="Times New Roman" w:hAnsi="Times New Roman"/>
        </w:rPr>
        <w:t xml:space="preserve">The PI is responsible for controlling expenditures and remaining within the budget awarded by the sponsor.  The accuracy of both the budget and expenditure information is the responsibility of the PI.  Any corrections should be filtered through the OCG to the appropriate departments (e.g. Payroll, Purchasing, and Controller’s Office).  Expenditures over the budget and for disallowed costs are </w:t>
      </w:r>
      <w:r w:rsidR="00EF0121">
        <w:rPr>
          <w:rFonts w:ascii="Times New Roman" w:hAnsi="Times New Roman"/>
        </w:rPr>
        <w:t xml:space="preserve">not possible </w:t>
      </w:r>
      <w:r w:rsidR="001E36DA">
        <w:rPr>
          <w:rFonts w:ascii="Times New Roman" w:hAnsi="Times New Roman"/>
        </w:rPr>
        <w:t xml:space="preserve">and </w:t>
      </w:r>
      <w:r w:rsidR="001E36DA" w:rsidRPr="008E3AF9">
        <w:rPr>
          <w:rFonts w:ascii="Times New Roman" w:hAnsi="Times New Roman"/>
        </w:rPr>
        <w:t>they</w:t>
      </w:r>
      <w:r w:rsidRPr="008E3AF9">
        <w:rPr>
          <w:rFonts w:ascii="Times New Roman" w:hAnsi="Times New Roman"/>
        </w:rPr>
        <w:t xml:space="preserve"> will ultimately become a department or center responsibility.   The OCG is also responsible for the University’s sponsored program accounting including invoicing sponsors, preparing financial reports, and coordinating sponsored program audits. </w:t>
      </w:r>
    </w:p>
    <w:p w:rsidR="003066E5" w:rsidRPr="008E3AF9" w:rsidRDefault="003066E5" w:rsidP="00797395">
      <w:pPr>
        <w:pStyle w:val="ListParagraph"/>
        <w:autoSpaceDE w:val="0"/>
        <w:autoSpaceDN w:val="0"/>
        <w:adjustRightInd w:val="0"/>
        <w:spacing w:after="0" w:line="240" w:lineRule="auto"/>
        <w:ind w:left="0"/>
        <w:rPr>
          <w:rFonts w:ascii="Times New Roman" w:hAnsi="Times New Roman"/>
        </w:rPr>
      </w:pPr>
    </w:p>
    <w:p w:rsidR="003066E5" w:rsidRPr="008E3AF9" w:rsidRDefault="003066E5" w:rsidP="00797395">
      <w:pPr>
        <w:pStyle w:val="ListParagraph"/>
        <w:autoSpaceDE w:val="0"/>
        <w:autoSpaceDN w:val="0"/>
        <w:adjustRightInd w:val="0"/>
        <w:spacing w:after="0" w:line="240" w:lineRule="auto"/>
        <w:ind w:left="0"/>
        <w:rPr>
          <w:rFonts w:ascii="Times New Roman" w:hAnsi="Times New Roman"/>
        </w:rPr>
      </w:pPr>
      <w:r w:rsidRPr="008E3AF9">
        <w:rPr>
          <w:rFonts w:ascii="Times New Roman" w:hAnsi="Times New Roman"/>
        </w:rPr>
        <w:t>The following sections provide detailed requirements and guidance for post-award administration.</w:t>
      </w:r>
      <w:r w:rsidR="00D35807">
        <w:rPr>
          <w:rFonts w:ascii="Times New Roman" w:hAnsi="Times New Roman"/>
        </w:rPr>
        <w:br/>
      </w:r>
    </w:p>
    <w:p w:rsidR="003066E5" w:rsidRPr="008E3AF9" w:rsidRDefault="003066E5" w:rsidP="00D35807">
      <w:pPr>
        <w:pStyle w:val="Heading1"/>
        <w:numPr>
          <w:ilvl w:val="0"/>
          <w:numId w:val="47"/>
        </w:numPr>
        <w:rPr>
          <w:szCs w:val="22"/>
        </w:rPr>
      </w:pPr>
      <w:bookmarkStart w:id="27" w:name="_Toc405369387"/>
      <w:r w:rsidRPr="008E3AF9">
        <w:rPr>
          <w:szCs w:val="22"/>
        </w:rPr>
        <w:t>Award Terms and Conditions</w:t>
      </w:r>
      <w:bookmarkEnd w:id="27"/>
    </w:p>
    <w:p w:rsidR="003066E5" w:rsidRPr="008E3AF9" w:rsidRDefault="003066E5" w:rsidP="00797395">
      <w:pPr>
        <w:autoSpaceDE w:val="0"/>
        <w:autoSpaceDN w:val="0"/>
        <w:adjustRightInd w:val="0"/>
        <w:spacing w:after="0" w:line="20" w:lineRule="atLeast"/>
        <w:rPr>
          <w:rFonts w:ascii="Times New Roman" w:hAnsi="Times New Roman"/>
        </w:rPr>
      </w:pPr>
      <w:r w:rsidRPr="008E3AF9">
        <w:rPr>
          <w:rFonts w:ascii="Times New Roman" w:hAnsi="Times New Roman"/>
        </w:rPr>
        <w:t>The award document must be reviewed by the PI and OCG to determine special terms and conditions, with respect to requirements for both financial management and non-financial management. Identifying any special terms and conditions at the outset and communicating those requirements is critical to ensure appropriate management of the award.</w:t>
      </w:r>
    </w:p>
    <w:p w:rsidR="003066E5" w:rsidRPr="008E3AF9" w:rsidRDefault="003066E5" w:rsidP="00797395">
      <w:pPr>
        <w:pStyle w:val="ListParagraph"/>
        <w:spacing w:after="0" w:line="20" w:lineRule="atLeast"/>
        <w:ind w:left="0"/>
        <w:rPr>
          <w:rFonts w:ascii="Times New Roman" w:hAnsi="Times New Roman"/>
        </w:rPr>
      </w:pPr>
    </w:p>
    <w:p w:rsidR="003066E5" w:rsidRPr="004425BD" w:rsidRDefault="003066E5" w:rsidP="00797395">
      <w:r w:rsidRPr="008E3AF9">
        <w:rPr>
          <w:rFonts w:ascii="Times New Roman" w:hAnsi="Times New Roman"/>
        </w:rPr>
        <w:t xml:space="preserve">The OCG </w:t>
      </w:r>
      <w:r>
        <w:rPr>
          <w:rFonts w:ascii="Times New Roman" w:hAnsi="Times New Roman"/>
        </w:rPr>
        <w:t xml:space="preserve">will review </w:t>
      </w:r>
      <w:r w:rsidRPr="008E3AF9">
        <w:rPr>
          <w:rFonts w:ascii="Times New Roman" w:hAnsi="Times New Roman"/>
        </w:rPr>
        <w:t xml:space="preserve">award terms and conditions </w:t>
      </w:r>
      <w:r>
        <w:rPr>
          <w:rFonts w:ascii="Times New Roman" w:hAnsi="Times New Roman"/>
        </w:rPr>
        <w:t xml:space="preserve">with the </w:t>
      </w:r>
      <w:r w:rsidRPr="008E3AF9">
        <w:rPr>
          <w:rFonts w:ascii="Times New Roman" w:hAnsi="Times New Roman"/>
        </w:rPr>
        <w:t>PI. The OCG will produce an internal notice of key information about the award and administrative guidance on items such as required prior approvals, award restrictions, and reporting.</w:t>
      </w:r>
      <w:r>
        <w:rPr>
          <w:rFonts w:ascii="Times New Roman" w:hAnsi="Times New Roman"/>
        </w:rPr>
        <w:t xml:space="preserve"> This will also include an internal budget for the award. </w:t>
      </w:r>
      <w:r w:rsidR="00D35807">
        <w:rPr>
          <w:rFonts w:ascii="Times New Roman" w:hAnsi="Times New Roman"/>
        </w:rPr>
        <w:br/>
      </w:r>
    </w:p>
    <w:p w:rsidR="003066E5" w:rsidRPr="008E3AF9" w:rsidRDefault="003066E5" w:rsidP="00D35807">
      <w:pPr>
        <w:pStyle w:val="Heading1"/>
        <w:numPr>
          <w:ilvl w:val="0"/>
          <w:numId w:val="47"/>
        </w:numPr>
        <w:rPr>
          <w:szCs w:val="22"/>
        </w:rPr>
      </w:pPr>
      <w:bookmarkStart w:id="28" w:name="_Toc405369388"/>
      <w:r w:rsidRPr="008E3AF9">
        <w:rPr>
          <w:szCs w:val="22"/>
        </w:rPr>
        <w:t>Allowable Costs</w:t>
      </w:r>
      <w:bookmarkEnd w:id="28"/>
    </w:p>
    <w:p w:rsidR="003066E5" w:rsidRPr="008E3AF9" w:rsidRDefault="003066E5" w:rsidP="00093F97">
      <w:pPr>
        <w:spacing w:after="0" w:line="20" w:lineRule="atLeast"/>
        <w:rPr>
          <w:rFonts w:ascii="Times New Roman" w:hAnsi="Times New Roman"/>
        </w:rPr>
      </w:pPr>
      <w:r w:rsidRPr="008E3AF9">
        <w:rPr>
          <w:rFonts w:ascii="Times New Roman" w:hAnsi="Times New Roman"/>
        </w:rPr>
        <w:t xml:space="preserve">OMB </w:t>
      </w:r>
      <w:r w:rsidR="00527F3E">
        <w:rPr>
          <w:rFonts w:ascii="Times New Roman" w:hAnsi="Times New Roman"/>
        </w:rPr>
        <w:t>Uniform</w:t>
      </w:r>
      <w:r w:rsidR="008133F0">
        <w:rPr>
          <w:rFonts w:ascii="Times New Roman" w:hAnsi="Times New Roman"/>
        </w:rPr>
        <w:t xml:space="preserve"> Guidance</w:t>
      </w:r>
      <w:r w:rsidRPr="008E3AF9">
        <w:rPr>
          <w:rFonts w:ascii="Times New Roman" w:hAnsi="Times New Roman"/>
        </w:rPr>
        <w:t xml:space="preserve"> identifies direct and indirec</w:t>
      </w:r>
      <w:r w:rsidR="00E0711F">
        <w:rPr>
          <w:rFonts w:ascii="Times New Roman" w:hAnsi="Times New Roman"/>
        </w:rPr>
        <w:t>t costs that may be charged to F</w:t>
      </w:r>
      <w:r w:rsidRPr="008E3AF9">
        <w:rPr>
          <w:rFonts w:ascii="Times New Roman" w:hAnsi="Times New Roman"/>
        </w:rPr>
        <w:t xml:space="preserve">ederal </w:t>
      </w:r>
      <w:r w:rsidR="008133F0">
        <w:rPr>
          <w:rFonts w:ascii="Times New Roman" w:hAnsi="Times New Roman"/>
        </w:rPr>
        <w:t xml:space="preserve">grants and contracts.  The </w:t>
      </w:r>
      <w:r w:rsidR="00527F3E">
        <w:rPr>
          <w:rFonts w:ascii="Times New Roman" w:hAnsi="Times New Roman"/>
        </w:rPr>
        <w:t xml:space="preserve">Uniform </w:t>
      </w:r>
      <w:r w:rsidR="008133F0">
        <w:rPr>
          <w:rFonts w:ascii="Times New Roman" w:hAnsi="Times New Roman"/>
        </w:rPr>
        <w:t xml:space="preserve">Guidance </w:t>
      </w:r>
      <w:r w:rsidRPr="008E3AF9">
        <w:rPr>
          <w:rFonts w:ascii="Times New Roman" w:hAnsi="Times New Roman"/>
        </w:rPr>
        <w:t xml:space="preserve">also identifies those charges that cannot be charged to sponsored agreements and are considered unallowable expenses. </w:t>
      </w:r>
      <w:r w:rsidR="00527F3E">
        <w:rPr>
          <w:rFonts w:ascii="Times New Roman" w:hAnsi="Times New Roman"/>
        </w:rPr>
        <w:t>The Uniform</w:t>
      </w:r>
      <w:r w:rsidR="008133F0">
        <w:rPr>
          <w:rFonts w:ascii="Times New Roman" w:hAnsi="Times New Roman"/>
        </w:rPr>
        <w:t xml:space="preserve"> Guidance</w:t>
      </w:r>
      <w:r w:rsidRPr="008E3AF9">
        <w:rPr>
          <w:rFonts w:ascii="Times New Roman" w:hAnsi="Times New Roman"/>
        </w:rPr>
        <w:t xml:space="preserve"> offers four tests to determine the </w:t>
      </w:r>
      <w:proofErr w:type="spellStart"/>
      <w:r w:rsidRPr="008E3AF9">
        <w:rPr>
          <w:rFonts w:ascii="Times New Roman" w:hAnsi="Times New Roman"/>
        </w:rPr>
        <w:t>al</w:t>
      </w:r>
      <w:r w:rsidR="00E0711F">
        <w:rPr>
          <w:rFonts w:ascii="Times New Roman" w:hAnsi="Times New Roman"/>
        </w:rPr>
        <w:t>lowability</w:t>
      </w:r>
      <w:proofErr w:type="spellEnd"/>
      <w:r w:rsidR="00E0711F">
        <w:rPr>
          <w:rFonts w:ascii="Times New Roman" w:hAnsi="Times New Roman"/>
        </w:rPr>
        <w:t xml:space="preserve"> of costs applied to f</w:t>
      </w:r>
      <w:r w:rsidRPr="008E3AF9">
        <w:rPr>
          <w:rFonts w:ascii="Times New Roman" w:hAnsi="Times New Roman"/>
        </w:rPr>
        <w:t>ederally sponsored agreements.</w:t>
      </w:r>
    </w:p>
    <w:p w:rsidR="003066E5" w:rsidRPr="008E3AF9" w:rsidRDefault="003066E5" w:rsidP="00093F97">
      <w:pPr>
        <w:spacing w:after="0" w:line="20" w:lineRule="atLeast"/>
        <w:rPr>
          <w:rFonts w:ascii="Times New Roman" w:hAnsi="Times New Roman"/>
        </w:rPr>
      </w:pPr>
    </w:p>
    <w:p w:rsidR="003066E5" w:rsidRPr="008E3AF9" w:rsidRDefault="003066E5" w:rsidP="00093F97">
      <w:pPr>
        <w:spacing w:after="0" w:line="20" w:lineRule="atLeast"/>
        <w:rPr>
          <w:rFonts w:ascii="Times New Roman" w:hAnsi="Times New Roman"/>
        </w:rPr>
      </w:pPr>
      <w:r w:rsidRPr="008E3AF9">
        <w:rPr>
          <w:rFonts w:ascii="Times New Roman" w:hAnsi="Times New Roman"/>
        </w:rPr>
        <w:lastRenderedPageBreak/>
        <w:t>Allowable costs must be:</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Reasonable – For a cost to be considered reasonable, it must be necessary for fulfillment of the agreement, acq</w:t>
      </w:r>
      <w:r w:rsidR="00E0711F">
        <w:rPr>
          <w:rFonts w:ascii="Times New Roman" w:hAnsi="Times New Roman"/>
        </w:rPr>
        <w:t>uired by means consistent with F</w:t>
      </w:r>
      <w:r w:rsidRPr="008E3AF9">
        <w:rPr>
          <w:rFonts w:ascii="Times New Roman" w:hAnsi="Times New Roman"/>
        </w:rPr>
        <w:t xml:space="preserve">ederal and state laws and regulations, and consistent with University policies and practices. </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 xml:space="preserve">Allocable – A cost is allocable to a sponsored agreement if the goods/services involved are charged in accordance with the relative benefits received by that agreement. To be considered allocable, a cost must be incurred solely to advance the work under the sponsored agreement or benefit both the sponsored agreement and other work of the institution in proportions that can be approximated through use of reasonable cost allocation methods. </w:t>
      </w:r>
      <w:r w:rsidRPr="008E3AF9">
        <w:rPr>
          <w:rFonts w:ascii="Times New Roman" w:hAnsi="Times New Roman"/>
        </w:rPr>
        <w:br/>
      </w:r>
      <w:r w:rsidRPr="008E3AF9">
        <w:rPr>
          <w:rFonts w:ascii="Times New Roman" w:hAnsi="Times New Roman"/>
          <w:i/>
          <w:u w:val="single"/>
        </w:rPr>
        <w:t>Note:</w:t>
      </w:r>
      <w:r w:rsidRPr="008E3AF9">
        <w:rPr>
          <w:rFonts w:ascii="Times New Roman" w:hAnsi="Times New Roman"/>
        </w:rPr>
        <w:t xml:space="preserve"> Any cost that is allocable to a particular sponsored agreement may not be moved (e.g., cost transfer) to another sponsored agreement in order to meet deficiencies caused by overruns or other funding considerations, to avoid restrictions imposed by law or by terms of the sponsored agreement, or for other reasons of convenience.</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 xml:space="preserve">Treated consistently throughout the University - similar costs normally cannot be treated as both direct and indirect costs. </w:t>
      </w:r>
    </w:p>
    <w:p w:rsidR="003066E5" w:rsidRPr="008E3AF9" w:rsidRDefault="003066E5" w:rsidP="00093F97">
      <w:pPr>
        <w:numPr>
          <w:ilvl w:val="0"/>
          <w:numId w:val="5"/>
        </w:numPr>
        <w:spacing w:before="120" w:after="0" w:line="20" w:lineRule="atLeast"/>
        <w:rPr>
          <w:rFonts w:ascii="Times New Roman" w:hAnsi="Times New Roman"/>
        </w:rPr>
      </w:pPr>
      <w:r w:rsidRPr="008E3AF9">
        <w:rPr>
          <w:rFonts w:ascii="Times New Roman" w:hAnsi="Times New Roman"/>
        </w:rPr>
        <w:t xml:space="preserve">Allowable – Conform to any limitations or exclusions in the sponsored agreement. </w:t>
      </w:r>
    </w:p>
    <w:p w:rsidR="003066E5" w:rsidRPr="008E3AF9" w:rsidRDefault="003066E5" w:rsidP="00093F97">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29" w:name="_Toc405369389"/>
      <w:r w:rsidRPr="008E3AF9">
        <w:rPr>
          <w:szCs w:val="22"/>
        </w:rPr>
        <w:t>Unallowable Costs</w:t>
      </w:r>
      <w:bookmarkEnd w:id="29"/>
    </w:p>
    <w:p w:rsidR="003066E5" w:rsidRPr="008E3AF9" w:rsidRDefault="003066E5" w:rsidP="00093F97">
      <w:pPr>
        <w:pStyle w:val="ListParagraph"/>
        <w:spacing w:after="0" w:line="20" w:lineRule="atLeast"/>
        <w:ind w:left="0"/>
        <w:rPr>
          <w:rFonts w:ascii="Times New Roman" w:hAnsi="Times New Roman"/>
          <w:color w:val="000000"/>
        </w:rPr>
      </w:pPr>
      <w:r w:rsidRPr="008E3AF9">
        <w:rPr>
          <w:rFonts w:ascii="Times New Roman" w:hAnsi="Times New Roman"/>
          <w:color w:val="000000"/>
        </w:rPr>
        <w:t>T</w:t>
      </w:r>
      <w:r w:rsidR="00E0711F">
        <w:rPr>
          <w:rFonts w:ascii="Times New Roman" w:hAnsi="Times New Roman"/>
          <w:color w:val="000000"/>
        </w:rPr>
        <w:t>here are expenditures that the F</w:t>
      </w:r>
      <w:r w:rsidRPr="008E3AF9">
        <w:rPr>
          <w:rFonts w:ascii="Times New Roman" w:hAnsi="Times New Roman"/>
          <w:color w:val="000000"/>
        </w:rPr>
        <w:t xml:space="preserve">ederal government deems inappropriate and will not reimburse and should not be directly or indirectly charged to contracts and grants; the government refers to these categories of costs as </w:t>
      </w:r>
      <w:r w:rsidRPr="008E3AF9">
        <w:rPr>
          <w:rFonts w:ascii="Times New Roman" w:hAnsi="Times New Roman"/>
          <w:i/>
          <w:iCs/>
          <w:color w:val="000000"/>
        </w:rPr>
        <w:t>unallowable</w:t>
      </w:r>
      <w:r w:rsidRPr="008E3AF9">
        <w:rPr>
          <w:rFonts w:ascii="Times New Roman" w:hAnsi="Times New Roman"/>
          <w:iCs/>
          <w:color w:val="000000"/>
        </w:rPr>
        <w:t xml:space="preserve">, which are </w:t>
      </w:r>
      <w:r w:rsidR="00527F3E">
        <w:rPr>
          <w:rFonts w:ascii="Times New Roman" w:hAnsi="Times New Roman"/>
          <w:color w:val="000000"/>
        </w:rPr>
        <w:t>identified in OMB Uniform Guidance</w:t>
      </w:r>
      <w:r w:rsidRPr="008E3AF9">
        <w:rPr>
          <w:rFonts w:ascii="Times New Roman" w:hAnsi="Times New Roman"/>
          <w:color w:val="000000"/>
        </w:rPr>
        <w:t xml:space="preserve">.  </w:t>
      </w:r>
    </w:p>
    <w:p w:rsidR="003066E5" w:rsidRPr="008E3AF9" w:rsidRDefault="003066E5" w:rsidP="007C6FEE">
      <w:pPr>
        <w:pStyle w:val="ListParagraph"/>
        <w:spacing w:after="0"/>
        <w:ind w:left="0"/>
        <w:rPr>
          <w:rFonts w:ascii="Times New Roman" w:hAnsi="Times New Roman"/>
        </w:rPr>
      </w:pPr>
    </w:p>
    <w:p w:rsidR="003066E5" w:rsidRPr="008E3AF9" w:rsidRDefault="003066E5" w:rsidP="007C6FEE">
      <w:pPr>
        <w:pStyle w:val="ListParagraph"/>
        <w:spacing w:after="0"/>
        <w:ind w:left="0"/>
        <w:rPr>
          <w:rFonts w:ascii="Times New Roman" w:hAnsi="Times New Roman"/>
          <w:b/>
        </w:rPr>
      </w:pPr>
      <w:r w:rsidRPr="008E3AF9">
        <w:rPr>
          <w:rFonts w:ascii="Times New Roman" w:hAnsi="Times New Roman"/>
          <w:b/>
        </w:rPr>
        <w:t>Table: Allowable and Unallowable Costs</w:t>
      </w:r>
    </w:p>
    <w:tbl>
      <w:tblPr>
        <w:tblW w:w="9457" w:type="dxa"/>
        <w:tblInd w:w="93" w:type="dxa"/>
        <w:tblLook w:val="00A0" w:firstRow="1" w:lastRow="0" w:firstColumn="1" w:lastColumn="0" w:noHBand="0" w:noVBand="0"/>
      </w:tblPr>
      <w:tblGrid>
        <w:gridCol w:w="2058"/>
        <w:gridCol w:w="3214"/>
        <w:gridCol w:w="2206"/>
        <w:gridCol w:w="1979"/>
      </w:tblGrid>
      <w:tr w:rsidR="003066E5" w:rsidRPr="008E3AF9" w:rsidTr="007A7210">
        <w:trPr>
          <w:trHeight w:val="239"/>
        </w:trPr>
        <w:tc>
          <w:tcPr>
            <w:tcW w:w="2058" w:type="dxa"/>
            <w:tcBorders>
              <w:top w:val="single" w:sz="4" w:space="0" w:color="auto"/>
              <w:left w:val="single" w:sz="4" w:space="0" w:color="auto"/>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Type of Payment</w:t>
            </w:r>
          </w:p>
        </w:tc>
        <w:tc>
          <w:tcPr>
            <w:tcW w:w="3214" w:type="dxa"/>
            <w:tcBorders>
              <w:top w:val="single" w:sz="4" w:space="0" w:color="auto"/>
              <w:left w:val="single" w:sz="4" w:space="0" w:color="000000"/>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Federal Sponsor</w:t>
            </w:r>
          </w:p>
        </w:tc>
        <w:tc>
          <w:tcPr>
            <w:tcW w:w="2206" w:type="dxa"/>
            <w:tcBorders>
              <w:top w:val="single" w:sz="4" w:space="0" w:color="auto"/>
              <w:left w:val="single" w:sz="4" w:space="0" w:color="000000"/>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State Sponsor</w:t>
            </w:r>
          </w:p>
        </w:tc>
        <w:tc>
          <w:tcPr>
            <w:tcW w:w="1979" w:type="dxa"/>
            <w:tcBorders>
              <w:top w:val="single" w:sz="4" w:space="0" w:color="auto"/>
              <w:left w:val="single" w:sz="4" w:space="0" w:color="000000"/>
              <w:bottom w:val="single" w:sz="4" w:space="0" w:color="auto"/>
              <w:right w:val="single" w:sz="4" w:space="0" w:color="000000"/>
            </w:tcBorders>
            <w:shd w:val="pct12" w:color="auto" w:fill="auto"/>
          </w:tcPr>
          <w:p w:rsidR="003066E5" w:rsidRPr="008E3AF9" w:rsidRDefault="003066E5" w:rsidP="006E3348">
            <w:pPr>
              <w:spacing w:after="0" w:line="240" w:lineRule="auto"/>
              <w:jc w:val="center"/>
              <w:rPr>
                <w:rFonts w:ascii="Times New Roman" w:hAnsi="Times New Roman"/>
                <w:b/>
                <w:bCs/>
                <w:color w:val="000000"/>
                <w:sz w:val="20"/>
                <w:szCs w:val="20"/>
              </w:rPr>
            </w:pPr>
            <w:r w:rsidRPr="008E3AF9">
              <w:rPr>
                <w:rFonts w:ascii="Times New Roman" w:hAnsi="Times New Roman"/>
                <w:b/>
                <w:bCs/>
                <w:color w:val="000000"/>
                <w:sz w:val="20"/>
                <w:szCs w:val="20"/>
              </w:rPr>
              <w:t>Private Sponsor</w:t>
            </w:r>
          </w:p>
        </w:tc>
      </w:tr>
      <w:tr w:rsidR="003066E5" w:rsidRPr="008E3AF9" w:rsidTr="007A7210">
        <w:trPr>
          <w:trHeight w:val="603"/>
        </w:trPr>
        <w:tc>
          <w:tcPr>
            <w:tcW w:w="2058" w:type="dxa"/>
            <w:tcBorders>
              <w:top w:val="nil"/>
              <w:left w:val="single" w:sz="4" w:space="0" w:color="auto"/>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Advertising and public relations costs</w:t>
            </w:r>
          </w:p>
        </w:tc>
        <w:tc>
          <w:tcPr>
            <w:tcW w:w="3214"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necessary to meet the specific requirements of the sponsored agreement.</w:t>
            </w:r>
          </w:p>
        </w:tc>
        <w:tc>
          <w:tcPr>
            <w:tcW w:w="2206"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3066E5" w:rsidRPr="008E3AF9" w:rsidTr="007A7210">
        <w:trPr>
          <w:trHeight w:val="239"/>
        </w:trPr>
        <w:tc>
          <w:tcPr>
            <w:tcW w:w="2058" w:type="dxa"/>
            <w:tcBorders>
              <w:top w:val="nil"/>
              <w:left w:val="single" w:sz="4" w:space="0" w:color="auto"/>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Alcoholic beverages</w:t>
            </w:r>
          </w:p>
        </w:tc>
        <w:tc>
          <w:tcPr>
            <w:tcW w:w="3214"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3066E5" w:rsidRPr="008E3AF9" w:rsidRDefault="003066E5"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239"/>
        </w:trPr>
        <w:tc>
          <w:tcPr>
            <w:tcW w:w="2058" w:type="dxa"/>
            <w:tcBorders>
              <w:top w:val="nil"/>
              <w:left w:val="single" w:sz="4" w:space="0" w:color="auto"/>
              <w:bottom w:val="single" w:sz="4" w:space="0" w:color="auto"/>
              <w:right w:val="single" w:sz="4" w:space="0" w:color="auto"/>
            </w:tcBorders>
          </w:tcPr>
          <w:p w:rsidR="008D613D" w:rsidRPr="008E3AF9" w:rsidRDefault="008D613D" w:rsidP="008D613D">
            <w:pPr>
              <w:pStyle w:val="ListParagraph"/>
              <w:spacing w:after="0"/>
              <w:ind w:left="0"/>
              <w:rPr>
                <w:rFonts w:ascii="Times New Roman" w:hAnsi="Times New Roman"/>
                <w:sz w:val="20"/>
                <w:szCs w:val="20"/>
              </w:rPr>
            </w:pPr>
            <w:r w:rsidRPr="008E3AF9">
              <w:rPr>
                <w:rFonts w:ascii="Times New Roman" w:hAnsi="Times New Roman"/>
                <w:sz w:val="20"/>
                <w:szCs w:val="20"/>
              </w:rPr>
              <w:t>Automobile Costs for Personal Use</w:t>
            </w:r>
          </w:p>
        </w:tc>
        <w:tc>
          <w:tcPr>
            <w:tcW w:w="3214" w:type="dxa"/>
            <w:tcBorders>
              <w:top w:val="nil"/>
              <w:left w:val="nil"/>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3066E5" w:rsidRPr="008E3AF9" w:rsidTr="007A7210">
        <w:trPr>
          <w:trHeight w:val="239"/>
        </w:trPr>
        <w:tc>
          <w:tcPr>
            <w:tcW w:w="2058" w:type="dxa"/>
            <w:tcBorders>
              <w:top w:val="nil"/>
              <w:left w:val="single" w:sz="4" w:space="0" w:color="auto"/>
              <w:bottom w:val="single" w:sz="4" w:space="0" w:color="auto"/>
              <w:right w:val="single" w:sz="4" w:space="0" w:color="auto"/>
            </w:tcBorders>
          </w:tcPr>
          <w:p w:rsidR="003066E5" w:rsidRPr="008E3AF9" w:rsidRDefault="008D613D" w:rsidP="002A7C45">
            <w:pPr>
              <w:pStyle w:val="ListParagraph"/>
              <w:spacing w:after="0"/>
              <w:ind w:left="0"/>
              <w:rPr>
                <w:rFonts w:ascii="Times New Roman" w:hAnsi="Times New Roman"/>
                <w:sz w:val="20"/>
                <w:szCs w:val="20"/>
              </w:rPr>
            </w:pPr>
            <w:r>
              <w:rPr>
                <w:rFonts w:ascii="Times New Roman" w:hAnsi="Times New Roman"/>
                <w:sz w:val="20"/>
                <w:szCs w:val="20"/>
              </w:rPr>
              <w:t>Bad Debt</w:t>
            </w:r>
          </w:p>
        </w:tc>
        <w:tc>
          <w:tcPr>
            <w:tcW w:w="3214" w:type="dxa"/>
            <w:tcBorders>
              <w:top w:val="nil"/>
              <w:left w:val="nil"/>
              <w:bottom w:val="single" w:sz="4" w:space="0" w:color="auto"/>
              <w:right w:val="single" w:sz="4" w:space="0" w:color="auto"/>
            </w:tcBorders>
          </w:tcPr>
          <w:p w:rsidR="003066E5" w:rsidRPr="008E3AF9" w:rsidRDefault="003066E5"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3066E5" w:rsidRPr="008E3AF9" w:rsidRDefault="003066E5"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3066E5" w:rsidRPr="008E3AF9" w:rsidRDefault="003066E5"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23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Books and journals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necessary to meet the specific requirements of the sponsored agreement; otherwise provided as part of the University's library services.</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8D613D" w:rsidRPr="008E3AF9" w:rsidTr="007A7210">
        <w:trPr>
          <w:trHeight w:val="1013"/>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Consulting services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Pr>
                <w:rFonts w:ascii="Times New Roman" w:hAnsi="Times New Roman"/>
                <w:color w:val="000000"/>
                <w:sz w:val="20"/>
                <w:szCs w:val="20"/>
              </w:rPr>
              <w:t>C</w:t>
            </w:r>
            <w:r w:rsidRPr="008E3AF9">
              <w:rPr>
                <w:rFonts w:ascii="Times New Roman" w:hAnsi="Times New Roman"/>
                <w:color w:val="000000"/>
                <w:sz w:val="20"/>
                <w:szCs w:val="20"/>
              </w:rPr>
              <w:t xml:space="preserve">onsultant services rendered by persons who possess a special skill </w:t>
            </w:r>
            <w:r>
              <w:rPr>
                <w:rFonts w:ascii="Times New Roman" w:hAnsi="Times New Roman"/>
                <w:color w:val="000000"/>
                <w:sz w:val="20"/>
                <w:szCs w:val="20"/>
              </w:rPr>
              <w:t xml:space="preserve">(not </w:t>
            </w:r>
            <w:r w:rsidRPr="008E3AF9">
              <w:rPr>
                <w:rFonts w:ascii="Times New Roman" w:hAnsi="Times New Roman"/>
                <w:color w:val="000000"/>
                <w:sz w:val="20"/>
                <w:szCs w:val="20"/>
              </w:rPr>
              <w:t xml:space="preserve">officers or employees of </w:t>
            </w:r>
            <w:r w:rsidR="00FA7CE0">
              <w:rPr>
                <w:rFonts w:ascii="Times New Roman" w:hAnsi="Times New Roman"/>
                <w:color w:val="000000"/>
                <w:sz w:val="20"/>
                <w:szCs w:val="20"/>
              </w:rPr>
              <w:t>USF</w:t>
            </w:r>
            <w:r>
              <w:rPr>
                <w:rFonts w:ascii="Times New Roman" w:hAnsi="Times New Roman"/>
                <w:color w:val="000000"/>
                <w:sz w:val="20"/>
                <w:szCs w:val="20"/>
              </w:rPr>
              <w:t>)</w:t>
            </w:r>
            <w:r w:rsidRPr="008E3AF9">
              <w:rPr>
                <w:rFonts w:ascii="Times New Roman" w:hAnsi="Times New Roman"/>
                <w:color w:val="000000"/>
                <w:sz w:val="20"/>
                <w:szCs w:val="20"/>
              </w:rPr>
              <w:t xml:space="preserve"> are allow</w:t>
            </w:r>
            <w:r>
              <w:rPr>
                <w:rFonts w:ascii="Times New Roman" w:hAnsi="Times New Roman"/>
                <w:color w:val="000000"/>
                <w:sz w:val="20"/>
                <w:szCs w:val="20"/>
              </w:rPr>
              <w:t>ed</w:t>
            </w:r>
            <w:r w:rsidRPr="008E3AF9">
              <w:rPr>
                <w:rFonts w:ascii="Times New Roman" w:hAnsi="Times New Roman"/>
                <w:color w:val="000000"/>
                <w:sz w:val="20"/>
                <w:szCs w:val="20"/>
              </w:rPr>
              <w:t xml:space="preserve"> up to a maximum amount of $540 per consultant per day.</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8D613D"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sz w:val="20"/>
                <w:szCs w:val="20"/>
              </w:rPr>
              <w:t>Defense and Prosecution of Criminal and Civil Proceedings, Claims Appeals and Patent Infringement</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sz w:val="20"/>
                <w:szCs w:val="20"/>
              </w:rPr>
              <w:lastRenderedPageBreak/>
              <w:t>Donations and contributions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479"/>
        </w:trPr>
        <w:tc>
          <w:tcPr>
            <w:tcW w:w="2058" w:type="dxa"/>
            <w:tcBorders>
              <w:top w:val="nil"/>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Entertainment</w:t>
            </w:r>
          </w:p>
        </w:tc>
        <w:tc>
          <w:tcPr>
            <w:tcW w:w="3214" w:type="dxa"/>
            <w:tcBorders>
              <w:top w:val="nil"/>
              <w:left w:val="nil"/>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nil"/>
              <w:left w:val="nil"/>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sz w:val="20"/>
                <w:szCs w:val="20"/>
              </w:rPr>
              <w:t>Equipment – special purpose (e.g., scientific equipment)</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color w:val="000000"/>
                <w:sz w:val="20"/>
                <w:szCs w:val="20"/>
              </w:rPr>
              <w:t>Allowable provided that items with a unit cost of $5,000 or more have the prior approval of the sponsor</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color w:val="000000"/>
                <w:sz w:val="20"/>
                <w:szCs w:val="20"/>
              </w:rPr>
              <w:t>Same as Federal sponsors</w:t>
            </w:r>
          </w:p>
        </w:tc>
      </w:tr>
      <w:tr w:rsidR="008D613D" w:rsidRPr="008E3AF9" w:rsidTr="007A7210">
        <w:trPr>
          <w:trHeight w:val="239"/>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Pr>
                <w:rFonts w:ascii="Times New Roman" w:hAnsi="Times New Roman"/>
                <w:sz w:val="20"/>
                <w:szCs w:val="20"/>
              </w:rPr>
              <w:t>Fines and Penalties</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517"/>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Pr>
                <w:rFonts w:ascii="Times New Roman" w:hAnsi="Times New Roman"/>
                <w:sz w:val="20"/>
                <w:szCs w:val="20"/>
              </w:rPr>
              <w:t>Goods and services for personal use</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8D613D" w:rsidRPr="008E3AF9" w:rsidTr="007A7210">
        <w:trPr>
          <w:trHeight w:val="697"/>
        </w:trPr>
        <w:tc>
          <w:tcPr>
            <w:tcW w:w="2058"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Pr>
                <w:rFonts w:ascii="Times New Roman" w:hAnsi="Times New Roman"/>
                <w:sz w:val="20"/>
                <w:szCs w:val="20"/>
              </w:rPr>
              <w:t>Insurance</w:t>
            </w:r>
          </w:p>
        </w:tc>
        <w:tc>
          <w:tcPr>
            <w:tcW w:w="3214" w:type="dxa"/>
            <w:tcBorders>
              <w:top w:val="single" w:sz="4" w:space="0" w:color="auto"/>
              <w:left w:val="single" w:sz="4" w:space="0" w:color="auto"/>
              <w:bottom w:val="single" w:sz="4" w:space="0" w:color="auto"/>
              <w:right w:val="single" w:sz="4" w:space="0" w:color="auto"/>
            </w:tcBorders>
          </w:tcPr>
          <w:p w:rsidR="008D613D" w:rsidRPr="008E3AF9" w:rsidRDefault="008D613D"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Costs of insurance required or approved pursuant to the sponsored agreement are allowable; otherwise treated as an F&amp;A cost.</w:t>
            </w:r>
          </w:p>
        </w:tc>
        <w:tc>
          <w:tcPr>
            <w:tcW w:w="2206" w:type="dxa"/>
            <w:tcBorders>
              <w:top w:val="single" w:sz="4" w:space="0" w:color="auto"/>
              <w:left w:val="single" w:sz="4" w:space="0" w:color="auto"/>
              <w:bottom w:val="single" w:sz="4" w:space="0" w:color="auto"/>
              <w:right w:val="single" w:sz="4" w:space="0" w:color="auto"/>
            </w:tcBorders>
          </w:tcPr>
          <w:p w:rsidR="008D613D" w:rsidRPr="008E3AF9" w:rsidRDefault="008D613D" w:rsidP="006C55B2">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8D613D" w:rsidRPr="008E3AF9" w:rsidRDefault="008D613D"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Interest and Investment Management Costs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Unallowable </w:t>
            </w:r>
            <w:r w:rsidRPr="008E3AF9">
              <w:rPr>
                <w:rFonts w:ascii="Times New Roman" w:hAnsi="Times New Roman"/>
                <w:sz w:val="20"/>
                <w:szCs w:val="20"/>
              </w:rPr>
              <w:t>except for cost related to the physical custody and control of monies and securities and for interest cost paid to external parties for assets (buildings and equipment) used to support government contracts.</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Pr>
                <w:rFonts w:ascii="Times New Roman" w:hAnsi="Times New Roman"/>
                <w:color w:val="000000"/>
                <w:sz w:val="20"/>
                <w:szCs w:val="20"/>
              </w:rPr>
              <w:t>S</w:t>
            </w:r>
            <w:r w:rsidRPr="008E3AF9">
              <w:rPr>
                <w:rFonts w:ascii="Times New Roman" w:hAnsi="Times New Roman"/>
                <w:color w:val="000000"/>
                <w:sz w:val="20"/>
                <w:szCs w:val="20"/>
              </w:rPr>
              <w:t>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Pr>
                <w:rFonts w:ascii="Times New Roman" w:hAnsi="Times New Roman"/>
                <w:sz w:val="20"/>
                <w:szCs w:val="20"/>
              </w:rPr>
              <w:t>Lobbying</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A57AB2"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Losses on Government or Other Contracts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A57AB2"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Materials and supplies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necessary to meet the specific requirements of the sponsored agreement.</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Meetings and conferences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primary purpose of the meeting or conference is the dissemination of sponsored agreement-related information.</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A57AB2"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Memberships, subscriptions, and professional activity costs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Generally unallowable as a direct cost except when necessary to meet the technical requirements of the award. The cost of membership in any civic or community organization is unallowable.</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CD02A8" w:rsidRPr="008E3AF9" w:rsidTr="007A7210">
        <w:trPr>
          <w:trHeight w:val="351"/>
        </w:trPr>
        <w:tc>
          <w:tcPr>
            <w:tcW w:w="2058"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Office Supplies</w:t>
            </w:r>
          </w:p>
        </w:tc>
        <w:tc>
          <w:tcPr>
            <w:tcW w:w="3214"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as a direct cost except where extensive use of office supplies is necessary to meet the requirements of the sponsored agreement.</w:t>
            </w:r>
          </w:p>
        </w:tc>
        <w:tc>
          <w:tcPr>
            <w:tcW w:w="2206"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supplies are reasonable and directly related to the work of the sponsored agreement.</w:t>
            </w:r>
          </w:p>
        </w:tc>
        <w:tc>
          <w:tcPr>
            <w:tcW w:w="1979" w:type="dxa"/>
            <w:tcBorders>
              <w:top w:val="single" w:sz="4" w:space="0" w:color="auto"/>
              <w:left w:val="single" w:sz="4" w:space="0" w:color="auto"/>
              <w:bottom w:val="single" w:sz="4" w:space="0" w:color="auto"/>
              <w:right w:val="single" w:sz="4" w:space="0" w:color="auto"/>
            </w:tcBorders>
          </w:tcPr>
          <w:p w:rsidR="00A57AB2" w:rsidRPr="008E3AF9" w:rsidRDefault="00A57AB2"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Personal Housing and Living Expenses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7A7210" w:rsidRPr="008E3AF9" w:rsidTr="007A7210">
        <w:trPr>
          <w:trHeight w:val="99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Postage</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as a direct cost except when extensively used (FedEx, UPS, etc.) or necessary to meet the technical requirements of the award.</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postage is reasonable and directly related to the work of the sponsored agreement.</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FA7CE0">
        <w:trPr>
          <w:trHeight w:val="479"/>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proofErr w:type="spellStart"/>
            <w:r w:rsidRPr="008E3AF9">
              <w:rPr>
                <w:rFonts w:ascii="Times New Roman" w:hAnsi="Times New Roman"/>
                <w:color w:val="000000"/>
                <w:sz w:val="20"/>
                <w:szCs w:val="20"/>
              </w:rPr>
              <w:lastRenderedPageBreak/>
              <w:t>Precontract</w:t>
            </w:r>
            <w:proofErr w:type="spellEnd"/>
            <w:r w:rsidRPr="008E3AF9">
              <w:rPr>
                <w:rFonts w:ascii="Times New Roman" w:hAnsi="Times New Roman"/>
                <w:color w:val="000000"/>
                <w:sz w:val="20"/>
                <w:szCs w:val="20"/>
              </w:rPr>
              <w:t xml:space="preserve"> costs</w:t>
            </w:r>
          </w:p>
        </w:tc>
        <w:tc>
          <w:tcPr>
            <w:tcW w:w="3214"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unless approved by sponsoring agency.</w:t>
            </w: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FA7CE0">
        <w:trPr>
          <w:trHeight w:val="351"/>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Prizes &amp; Awards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r>
      <w:tr w:rsidR="007A7210"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Professional journal publications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where the article reports sponsor-supported work and the costs are levied impartially on all papers published by the journal.</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Proposal development costs</w:t>
            </w:r>
          </w:p>
        </w:tc>
        <w:tc>
          <w:tcPr>
            <w:tcW w:w="3214"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single" w:sz="4" w:space="0" w:color="auto"/>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p w:rsidR="00637560" w:rsidRPr="008E3AF9" w:rsidRDefault="00637560" w:rsidP="00FA7CE0">
            <w:pPr>
              <w:spacing w:after="0" w:line="240" w:lineRule="auto"/>
              <w:rPr>
                <w:rFonts w:ascii="Times New Roman" w:hAnsi="Times New Roman"/>
                <w:color w:val="000000"/>
                <w:sz w:val="20"/>
                <w:szCs w:val="20"/>
              </w:rPr>
            </w:pPr>
          </w:p>
        </w:tc>
      </w:tr>
      <w:tr w:rsidR="007A7210" w:rsidRPr="008E3AF9" w:rsidTr="00637560">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Scholarships </w:t>
            </w:r>
            <w:r>
              <w:rPr>
                <w:rFonts w:ascii="Times New Roman" w:hAnsi="Times New Roman"/>
                <w:color w:val="000000"/>
                <w:sz w:val="20"/>
                <w:szCs w:val="20"/>
              </w:rPr>
              <w:t>–</w:t>
            </w:r>
            <w:r w:rsidRPr="008E3AF9">
              <w:rPr>
                <w:rFonts w:ascii="Times New Roman" w:hAnsi="Times New Roman"/>
                <w:color w:val="000000"/>
                <w:sz w:val="20"/>
                <w:szCs w:val="20"/>
              </w:rPr>
              <w:t xml:space="preserve"> Merit</w:t>
            </w:r>
          </w:p>
        </w:tc>
        <w:tc>
          <w:tcPr>
            <w:tcW w:w="3214" w:type="dxa"/>
            <w:tcBorders>
              <w:top w:val="single" w:sz="4" w:space="0" w:color="auto"/>
              <w:left w:val="nil"/>
              <w:bottom w:val="single" w:sz="4" w:space="0" w:color="auto"/>
              <w:right w:val="single" w:sz="4" w:space="0" w:color="auto"/>
            </w:tcBorders>
          </w:tcPr>
          <w:p w:rsidR="0063756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only when the purpose of the sponsored agreement is to provide training to selected participants and the charge is approved by the sponsor.</w:t>
            </w:r>
          </w:p>
        </w:tc>
        <w:tc>
          <w:tcPr>
            <w:tcW w:w="2206"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when approved in advance by the sponsor</w:t>
            </w:r>
          </w:p>
        </w:tc>
      </w:tr>
      <w:tr w:rsidR="007A7210" w:rsidRPr="008E3AF9" w:rsidTr="00637560">
        <w:trPr>
          <w:trHeight w:val="351"/>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Taxes</w:t>
            </w:r>
          </w:p>
        </w:tc>
        <w:tc>
          <w:tcPr>
            <w:tcW w:w="3214"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 when exemptions are available to the University or are available to the University based on exemptions afforded the Federal government.</w:t>
            </w:r>
          </w:p>
        </w:tc>
        <w:tc>
          <w:tcPr>
            <w:tcW w:w="2206"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870"/>
        </w:trPr>
        <w:tc>
          <w:tcPr>
            <w:tcW w:w="2058" w:type="dxa"/>
            <w:tcBorders>
              <w:top w:val="nil"/>
              <w:left w:val="single" w:sz="4" w:space="0" w:color="auto"/>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Telephone </w:t>
            </w:r>
            <w:r>
              <w:rPr>
                <w:rFonts w:ascii="Times New Roman" w:hAnsi="Times New Roman"/>
                <w:color w:val="000000"/>
                <w:sz w:val="20"/>
                <w:szCs w:val="20"/>
              </w:rPr>
              <w:t>–</w:t>
            </w:r>
            <w:r w:rsidRPr="008E3AF9">
              <w:rPr>
                <w:rFonts w:ascii="Times New Roman" w:hAnsi="Times New Roman"/>
                <w:color w:val="000000"/>
                <w:sz w:val="20"/>
                <w:szCs w:val="20"/>
              </w:rPr>
              <w:t xml:space="preserve"> local</w:t>
            </w:r>
          </w:p>
        </w:tc>
        <w:tc>
          <w:tcPr>
            <w:tcW w:w="3214"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Unallowable</w:t>
            </w:r>
          </w:p>
        </w:tc>
        <w:tc>
          <w:tcPr>
            <w:tcW w:w="2206"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999"/>
        </w:trPr>
        <w:tc>
          <w:tcPr>
            <w:tcW w:w="2058" w:type="dxa"/>
            <w:tcBorders>
              <w:top w:val="nil"/>
              <w:left w:val="single" w:sz="4" w:space="0" w:color="auto"/>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Travel </w:t>
            </w:r>
            <w:r>
              <w:rPr>
                <w:rFonts w:ascii="Times New Roman" w:hAnsi="Times New Roman"/>
                <w:color w:val="000000"/>
                <w:sz w:val="20"/>
                <w:szCs w:val="20"/>
              </w:rPr>
              <w:t>–</w:t>
            </w:r>
            <w:r w:rsidRPr="008E3AF9">
              <w:rPr>
                <w:rFonts w:ascii="Times New Roman" w:hAnsi="Times New Roman"/>
                <w:color w:val="000000"/>
                <w:sz w:val="20"/>
                <w:szCs w:val="20"/>
              </w:rPr>
              <w:t xml:space="preserve"> domestic</w:t>
            </w:r>
          </w:p>
        </w:tc>
        <w:tc>
          <w:tcPr>
            <w:tcW w:w="3214" w:type="dxa"/>
            <w:tcBorders>
              <w:top w:val="nil"/>
              <w:left w:val="nil"/>
              <w:bottom w:val="single" w:sz="4" w:space="0" w:color="auto"/>
              <w:right w:val="single" w:sz="4" w:space="0" w:color="auto"/>
            </w:tcBorders>
          </w:tcPr>
          <w:p w:rsidR="007A7210" w:rsidRPr="00DD060A" w:rsidRDefault="007A7210" w:rsidP="008D613D">
            <w:pPr>
              <w:spacing w:after="0" w:line="240" w:lineRule="auto"/>
              <w:rPr>
                <w:rFonts w:ascii="Times New Roman" w:hAnsi="Times New Roman"/>
                <w:color w:val="000000"/>
                <w:sz w:val="20"/>
                <w:szCs w:val="20"/>
              </w:rPr>
            </w:pPr>
            <w:r w:rsidRPr="001E36DA">
              <w:rPr>
                <w:rFonts w:ascii="Times New Roman" w:hAnsi="Times New Roman"/>
                <w:color w:val="000000"/>
                <w:sz w:val="20"/>
                <w:szCs w:val="20"/>
              </w:rPr>
              <w:t xml:space="preserve">Allowable provided the travel is reasonable and directly related to the work of the sponsored agreement.  Any costs in </w:t>
            </w:r>
            <w:r w:rsidRPr="001E36DA">
              <w:rPr>
                <w:rFonts w:ascii="Times New Roman" w:hAnsi="Times New Roman"/>
                <w:sz w:val="20"/>
                <w:szCs w:val="20"/>
              </w:rPr>
              <w:t>excess of the lowest available commercial discount or standard coach airfare are unallowable.</w:t>
            </w:r>
          </w:p>
        </w:tc>
        <w:tc>
          <w:tcPr>
            <w:tcW w:w="2206" w:type="dxa"/>
            <w:tcBorders>
              <w:top w:val="nil"/>
              <w:left w:val="nil"/>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8D613D">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479"/>
        </w:trPr>
        <w:tc>
          <w:tcPr>
            <w:tcW w:w="2058" w:type="dxa"/>
            <w:tcBorders>
              <w:top w:val="nil"/>
              <w:left w:val="single" w:sz="4" w:space="0" w:color="auto"/>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Travel </w:t>
            </w:r>
            <w:r>
              <w:rPr>
                <w:rFonts w:ascii="Times New Roman" w:hAnsi="Times New Roman"/>
                <w:color w:val="000000"/>
                <w:sz w:val="20"/>
                <w:szCs w:val="20"/>
              </w:rPr>
              <w:t>–</w:t>
            </w:r>
            <w:r w:rsidRPr="008E3AF9">
              <w:rPr>
                <w:rFonts w:ascii="Times New Roman" w:hAnsi="Times New Roman"/>
                <w:color w:val="000000"/>
                <w:sz w:val="20"/>
                <w:szCs w:val="20"/>
              </w:rPr>
              <w:t xml:space="preserve"> international</w:t>
            </w:r>
          </w:p>
        </w:tc>
        <w:tc>
          <w:tcPr>
            <w:tcW w:w="3214"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Generally unallowable unless specifically approved in advance by the sponsor.</w:t>
            </w:r>
          </w:p>
        </w:tc>
        <w:tc>
          <w:tcPr>
            <w:tcW w:w="2206"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117AC7">
        <w:trPr>
          <w:trHeight w:val="2753"/>
        </w:trPr>
        <w:tc>
          <w:tcPr>
            <w:tcW w:w="2058" w:type="dxa"/>
            <w:tcBorders>
              <w:top w:val="nil"/>
              <w:left w:val="single" w:sz="4" w:space="0" w:color="auto"/>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Tuition Remission</w:t>
            </w:r>
          </w:p>
        </w:tc>
        <w:tc>
          <w:tcPr>
            <w:tcW w:w="3214" w:type="dxa"/>
            <w:tcBorders>
              <w:top w:val="nil"/>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The charge must be approved in advance by the sponsor.</w:t>
            </w: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Default="007A7210" w:rsidP="006E3348">
            <w:pPr>
              <w:spacing w:after="0" w:line="240" w:lineRule="auto"/>
              <w:rPr>
                <w:rFonts w:ascii="Times New Roman" w:hAnsi="Times New Roman"/>
                <w:color w:val="000000"/>
                <w:sz w:val="20"/>
                <w:szCs w:val="20"/>
              </w:rPr>
            </w:pPr>
          </w:p>
          <w:p w:rsidR="007A7210" w:rsidRPr="008E3AF9" w:rsidRDefault="007A7210" w:rsidP="006E3348">
            <w:pPr>
              <w:spacing w:after="0" w:line="240" w:lineRule="auto"/>
              <w:rPr>
                <w:rFonts w:ascii="Times New Roman" w:hAnsi="Times New Roman"/>
                <w:color w:val="000000"/>
                <w:sz w:val="20"/>
                <w:szCs w:val="20"/>
              </w:rPr>
            </w:pPr>
          </w:p>
        </w:tc>
        <w:tc>
          <w:tcPr>
            <w:tcW w:w="2206" w:type="dxa"/>
            <w:tcBorders>
              <w:top w:val="nil"/>
              <w:left w:val="nil"/>
              <w:bottom w:val="single" w:sz="4" w:space="0" w:color="auto"/>
              <w:right w:val="single" w:sz="4" w:space="0" w:color="auto"/>
            </w:tcBorders>
          </w:tcPr>
          <w:p w:rsidR="007A7210" w:rsidRPr="008E3AF9" w:rsidRDefault="007A7210" w:rsidP="002A7C45">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p w:rsidR="007A7210" w:rsidRPr="008E3AF9" w:rsidRDefault="007A7210" w:rsidP="002A7C45">
            <w:pPr>
              <w:spacing w:after="0" w:line="240" w:lineRule="auto"/>
              <w:rPr>
                <w:rFonts w:ascii="Times New Roman" w:hAnsi="Times New Roman"/>
                <w:color w:val="000000"/>
                <w:sz w:val="20"/>
                <w:szCs w:val="20"/>
              </w:rPr>
            </w:pPr>
          </w:p>
        </w:tc>
      </w:tr>
      <w:tr w:rsidR="007A7210" w:rsidRPr="008E3AF9" w:rsidTr="00117AC7">
        <w:trPr>
          <w:trHeight w:val="233"/>
        </w:trPr>
        <w:tc>
          <w:tcPr>
            <w:tcW w:w="2058" w:type="dxa"/>
            <w:tcBorders>
              <w:top w:val="single" w:sz="4" w:space="0" w:color="auto"/>
              <w:left w:val="single" w:sz="4" w:space="0" w:color="auto"/>
              <w:bottom w:val="single" w:sz="4" w:space="0" w:color="auto"/>
              <w:right w:val="single" w:sz="4" w:space="0" w:color="000000"/>
            </w:tcBorders>
            <w:shd w:val="pct12" w:color="auto" w:fill="auto"/>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b/>
                <w:bCs/>
                <w:color w:val="000000"/>
                <w:sz w:val="20"/>
                <w:szCs w:val="20"/>
              </w:rPr>
              <w:t>Salary, Wages, and Stipends</w:t>
            </w:r>
          </w:p>
        </w:tc>
        <w:tc>
          <w:tcPr>
            <w:tcW w:w="3214" w:type="dxa"/>
            <w:tcBorders>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p>
        </w:tc>
        <w:tc>
          <w:tcPr>
            <w:tcW w:w="2206" w:type="dxa"/>
            <w:tcBorders>
              <w:top w:val="nil"/>
              <w:left w:val="single" w:sz="4" w:space="0" w:color="auto"/>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p>
        </w:tc>
        <w:tc>
          <w:tcPr>
            <w:tcW w:w="1979" w:type="dxa"/>
            <w:tcBorders>
              <w:top w:val="nil"/>
              <w:left w:val="nil"/>
              <w:bottom w:val="single" w:sz="4" w:space="0" w:color="auto"/>
              <w:right w:val="single" w:sz="4" w:space="0" w:color="auto"/>
            </w:tcBorders>
          </w:tcPr>
          <w:p w:rsidR="007A7210" w:rsidRPr="008E3AF9" w:rsidRDefault="007A7210" w:rsidP="00BA5C7C">
            <w:pPr>
              <w:spacing w:after="0" w:line="240" w:lineRule="auto"/>
              <w:rPr>
                <w:rFonts w:ascii="Times New Roman" w:hAnsi="Times New Roman"/>
                <w:color w:val="000000"/>
                <w:sz w:val="20"/>
                <w:szCs w:val="20"/>
              </w:rPr>
            </w:pPr>
          </w:p>
        </w:tc>
      </w:tr>
      <w:tr w:rsidR="007A7210" w:rsidRPr="008E3AF9" w:rsidTr="00FA7CE0">
        <w:trPr>
          <w:trHeight w:val="719"/>
        </w:trPr>
        <w:tc>
          <w:tcPr>
            <w:tcW w:w="2058" w:type="dxa"/>
            <w:tcBorders>
              <w:top w:val="nil"/>
              <w:left w:val="single" w:sz="4" w:space="0" w:color="auto"/>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Faculty and professional staff</w:t>
            </w:r>
          </w:p>
        </w:tc>
        <w:tc>
          <w:tcPr>
            <w:tcW w:w="3214" w:type="dxa"/>
            <w:tcBorders>
              <w:top w:val="single" w:sz="4" w:space="0" w:color="auto"/>
              <w:left w:val="nil"/>
              <w:bottom w:val="single" w:sz="4" w:space="0" w:color="auto"/>
              <w:right w:val="single" w:sz="4" w:space="0" w:color="auto"/>
            </w:tcBorders>
          </w:tcPr>
          <w:p w:rsidR="007A7210" w:rsidRPr="008E3AF9" w:rsidRDefault="007A7210" w:rsidP="00527F3E">
            <w:pPr>
              <w:spacing w:after="0" w:line="240" w:lineRule="auto"/>
              <w:rPr>
                <w:rFonts w:ascii="Times New Roman" w:hAnsi="Times New Roman"/>
                <w:color w:val="000000"/>
                <w:sz w:val="20"/>
                <w:szCs w:val="20"/>
              </w:rPr>
            </w:pPr>
            <w:r w:rsidRPr="00CD02A8">
              <w:rPr>
                <w:rFonts w:ascii="Times New Roman" w:hAnsi="Times New Roman"/>
                <w:color w:val="000000"/>
                <w:sz w:val="20"/>
                <w:szCs w:val="20"/>
              </w:rPr>
              <w:t>Allowable provided the salary is reasonable, directly related to the work of the sponsored agreement, and documented</w:t>
            </w:r>
            <w:r w:rsidR="00527F3E">
              <w:rPr>
                <w:rFonts w:ascii="Times New Roman" w:hAnsi="Times New Roman"/>
                <w:color w:val="000000"/>
                <w:sz w:val="20"/>
                <w:szCs w:val="20"/>
              </w:rPr>
              <w:t xml:space="preserve"> in accordance with OMB Uniform Guidance</w:t>
            </w:r>
            <w:r w:rsidRPr="00CD02A8">
              <w:rPr>
                <w:rFonts w:ascii="Times New Roman" w:hAnsi="Times New Roman"/>
                <w:color w:val="000000"/>
                <w:sz w:val="20"/>
                <w:szCs w:val="20"/>
              </w:rPr>
              <w:t>.</w:t>
            </w:r>
          </w:p>
        </w:tc>
        <w:tc>
          <w:tcPr>
            <w:tcW w:w="2206" w:type="dxa"/>
            <w:tcBorders>
              <w:top w:val="nil"/>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CD02A8">
              <w:rPr>
                <w:rFonts w:ascii="Times New Roman" w:hAnsi="Times New Roman"/>
                <w:color w:val="000000"/>
                <w:sz w:val="20"/>
                <w:szCs w:val="20"/>
              </w:rPr>
              <w:t>Allowable provided the salary is reasonable, directly related to the work of the sponsored agreement, and documented in accordance with University procedures</w:t>
            </w:r>
          </w:p>
          <w:p w:rsidR="00117AC7" w:rsidRPr="008E3AF9" w:rsidRDefault="00117AC7" w:rsidP="006E3348">
            <w:pPr>
              <w:spacing w:after="0" w:line="240" w:lineRule="auto"/>
              <w:rPr>
                <w:rFonts w:ascii="Times New Roman" w:hAnsi="Times New Roman"/>
                <w:color w:val="000000"/>
                <w:sz w:val="20"/>
                <w:szCs w:val="20"/>
              </w:rPr>
            </w:pPr>
          </w:p>
        </w:tc>
        <w:tc>
          <w:tcPr>
            <w:tcW w:w="1979" w:type="dxa"/>
            <w:tcBorders>
              <w:top w:val="nil"/>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CD02A8">
              <w:rPr>
                <w:rFonts w:ascii="Times New Roman" w:hAnsi="Times New Roman"/>
                <w:color w:val="000000"/>
                <w:sz w:val="20"/>
                <w:szCs w:val="20"/>
              </w:rPr>
              <w:lastRenderedPageBreak/>
              <w:t>Same as State sponsors</w:t>
            </w:r>
          </w:p>
        </w:tc>
      </w:tr>
      <w:tr w:rsidR="007A7210" w:rsidRPr="008E3AF9" w:rsidTr="00637560">
        <w:trPr>
          <w:trHeight w:val="140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DC02D9" w:rsidP="006E3348">
            <w:pPr>
              <w:spacing w:after="0" w:line="240" w:lineRule="auto"/>
              <w:rPr>
                <w:rFonts w:ascii="Times New Roman" w:hAnsi="Times New Roman"/>
                <w:color w:val="000000"/>
                <w:sz w:val="20"/>
                <w:szCs w:val="20"/>
              </w:rPr>
            </w:pPr>
            <w:r>
              <w:lastRenderedPageBreak/>
              <w:br w:type="page"/>
            </w:r>
            <w:r w:rsidR="00FA7CE0" w:rsidRPr="008E3AF9">
              <w:rPr>
                <w:rFonts w:ascii="Times New Roman" w:hAnsi="Times New Roman"/>
                <w:color w:val="000000"/>
                <w:sz w:val="20"/>
                <w:szCs w:val="20"/>
              </w:rPr>
              <w:t>Post-doctoral</w:t>
            </w:r>
            <w:r w:rsidR="007A7210" w:rsidRPr="008E3AF9">
              <w:rPr>
                <w:rFonts w:ascii="Times New Roman" w:hAnsi="Times New Roman"/>
                <w:color w:val="000000"/>
                <w:sz w:val="20"/>
                <w:szCs w:val="20"/>
              </w:rPr>
              <w:t xml:space="preserve"> associate</w:t>
            </w:r>
          </w:p>
        </w:tc>
        <w:tc>
          <w:tcPr>
            <w:tcW w:w="3214" w:type="dxa"/>
            <w:tcBorders>
              <w:top w:val="single" w:sz="4" w:space="0" w:color="auto"/>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sz w:val="20"/>
                <w:szCs w:val="20"/>
              </w:rPr>
              <w:t xml:space="preserve">Allowable provided the salary is reasonable, directly related to the work of the sponsored agreement, and documented in accordance with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single" w:sz="4" w:space="0" w:color="auto"/>
              <w:left w:val="nil"/>
              <w:bottom w:val="single" w:sz="4" w:space="0" w:color="auto"/>
              <w:right w:val="single" w:sz="4" w:space="0" w:color="auto"/>
            </w:tcBorders>
          </w:tcPr>
          <w:p w:rsidR="007A7210"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salary is reasonable, directly related to the work of the sponsored agreement, and documented in accordance with University procedures</w:t>
            </w:r>
          </w:p>
          <w:p w:rsidR="00117AC7" w:rsidRPr="008E3AF9" w:rsidRDefault="00117AC7" w:rsidP="006E3348">
            <w:pPr>
              <w:spacing w:after="0" w:line="240" w:lineRule="auto"/>
              <w:rPr>
                <w:rFonts w:ascii="Times New Roman" w:hAnsi="Times New Roman"/>
                <w:color w:val="000000"/>
                <w:sz w:val="20"/>
                <w:szCs w:val="20"/>
              </w:rPr>
            </w:pPr>
          </w:p>
        </w:tc>
        <w:tc>
          <w:tcPr>
            <w:tcW w:w="1979" w:type="dxa"/>
            <w:tcBorders>
              <w:top w:val="single" w:sz="4" w:space="0" w:color="auto"/>
              <w:left w:val="nil"/>
              <w:bottom w:val="single" w:sz="4" w:space="0" w:color="auto"/>
              <w:right w:val="single" w:sz="4" w:space="0" w:color="auto"/>
            </w:tcBorders>
          </w:tcPr>
          <w:p w:rsidR="007A7210" w:rsidRPr="008E3AF9" w:rsidRDefault="007A7210" w:rsidP="006E3348">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117AC7">
        <w:trPr>
          <w:trHeight w:val="479"/>
        </w:trPr>
        <w:tc>
          <w:tcPr>
            <w:tcW w:w="2058" w:type="dxa"/>
            <w:tcBorders>
              <w:top w:val="single" w:sz="4" w:space="0" w:color="auto"/>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Administrative and clerical staff</w:t>
            </w:r>
          </w:p>
        </w:tc>
        <w:tc>
          <w:tcPr>
            <w:tcW w:w="3214"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sz w:val="20"/>
                <w:szCs w:val="20"/>
              </w:rPr>
              <w:t xml:space="preserve">Unallowable as a direct cost except where a "major project" explicitly budgets for administrative services and the staff involved can be specifically identified with the award. See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single" w:sz="4" w:space="0" w:color="auto"/>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wages are reasonable, directly related to the work of the sponsored agreement, and documented in accordance with University procedures</w:t>
            </w:r>
          </w:p>
          <w:p w:rsidR="00117AC7" w:rsidRPr="008E3AF9" w:rsidRDefault="00117AC7" w:rsidP="00FA7CE0">
            <w:pPr>
              <w:spacing w:after="0" w:line="240" w:lineRule="auto"/>
              <w:rPr>
                <w:rFonts w:ascii="Times New Roman" w:hAnsi="Times New Roman"/>
                <w:color w:val="000000"/>
                <w:sz w:val="20"/>
                <w:szCs w:val="20"/>
              </w:rPr>
            </w:pP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p>
        </w:tc>
      </w:tr>
      <w:tr w:rsidR="007A7210" w:rsidRPr="008E3AF9" w:rsidTr="007A721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Graduate Assistant wages</w:t>
            </w:r>
          </w:p>
        </w:tc>
        <w:tc>
          <w:tcPr>
            <w:tcW w:w="3214"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sz w:val="20"/>
                <w:szCs w:val="20"/>
              </w:rPr>
            </w:pPr>
            <w:r w:rsidRPr="008E3AF9">
              <w:rPr>
                <w:rFonts w:ascii="Times New Roman" w:hAnsi="Times New Roman"/>
                <w:sz w:val="20"/>
                <w:szCs w:val="20"/>
              </w:rPr>
              <w:t xml:space="preserve">Allowable provided the wages are reasonable, directly related to the work of the sponsored agreement, and documented in accordance with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nil"/>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provided the wages are reasonable, directly related to the work of the sponsored agreement, and documented in accordance with University procedures</w:t>
            </w:r>
          </w:p>
          <w:p w:rsidR="00117AC7" w:rsidRPr="008E3AF9" w:rsidRDefault="00117AC7" w:rsidP="00FA7CE0">
            <w:pPr>
              <w:spacing w:after="0" w:line="240" w:lineRule="auto"/>
              <w:rPr>
                <w:rFonts w:ascii="Times New Roman" w:hAnsi="Times New Roman"/>
                <w:color w:val="000000"/>
                <w:sz w:val="20"/>
                <w:szCs w:val="20"/>
              </w:rPr>
            </w:pPr>
          </w:p>
        </w:tc>
        <w:tc>
          <w:tcPr>
            <w:tcW w:w="1979" w:type="dxa"/>
            <w:tcBorders>
              <w:top w:val="nil"/>
              <w:left w:val="nil"/>
              <w:bottom w:val="single" w:sz="4" w:space="0" w:color="auto"/>
              <w:right w:val="single" w:sz="4" w:space="0" w:color="auto"/>
            </w:tcBorders>
          </w:tcPr>
          <w:p w:rsidR="007A7210" w:rsidRPr="008E3AF9" w:rsidRDefault="007A7210" w:rsidP="00DC02D9">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State sponsors</w:t>
            </w:r>
            <w:r w:rsidR="00DC02D9">
              <w:rPr>
                <w:rFonts w:ascii="Times New Roman" w:hAnsi="Times New Roman"/>
                <w:color w:val="000000"/>
                <w:sz w:val="20"/>
                <w:szCs w:val="20"/>
              </w:rPr>
              <w:t xml:space="preserve"> </w:t>
            </w:r>
          </w:p>
        </w:tc>
      </w:tr>
      <w:tr w:rsidR="007A7210" w:rsidRPr="008E3AF9" w:rsidTr="007A721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Graduate Teaching Assistants salary</w:t>
            </w:r>
          </w:p>
        </w:tc>
        <w:tc>
          <w:tcPr>
            <w:tcW w:w="3214" w:type="dxa"/>
            <w:tcBorders>
              <w:top w:val="nil"/>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Allowable only when the purpose of the sponsored agreement is instruction or training and the charge is approved in advance by the sponsor.</w:t>
            </w:r>
          </w:p>
          <w:p w:rsidR="007A7210" w:rsidRDefault="007A7210" w:rsidP="00FA7CE0">
            <w:pPr>
              <w:spacing w:after="0" w:line="240" w:lineRule="auto"/>
              <w:rPr>
                <w:rFonts w:ascii="Times New Roman" w:hAnsi="Times New Roman"/>
                <w:color w:val="000000"/>
                <w:sz w:val="20"/>
                <w:szCs w:val="20"/>
              </w:rPr>
            </w:pPr>
          </w:p>
          <w:p w:rsidR="007A7210" w:rsidRDefault="007A7210" w:rsidP="00FA7CE0">
            <w:pPr>
              <w:spacing w:after="0" w:line="240" w:lineRule="auto"/>
              <w:rPr>
                <w:rFonts w:ascii="Times New Roman" w:hAnsi="Times New Roman"/>
                <w:color w:val="000000"/>
                <w:sz w:val="20"/>
                <w:szCs w:val="20"/>
              </w:rPr>
            </w:pPr>
          </w:p>
          <w:p w:rsidR="007A7210" w:rsidRDefault="007A7210" w:rsidP="00FA7CE0">
            <w:pPr>
              <w:spacing w:after="0" w:line="240" w:lineRule="auto"/>
              <w:rPr>
                <w:rFonts w:ascii="Times New Roman" w:hAnsi="Times New Roman"/>
                <w:color w:val="000000"/>
                <w:sz w:val="20"/>
                <w:szCs w:val="20"/>
              </w:rPr>
            </w:pPr>
          </w:p>
          <w:p w:rsidR="007A7210" w:rsidRPr="008E3AF9" w:rsidRDefault="007A7210" w:rsidP="00FA7CE0">
            <w:pPr>
              <w:spacing w:after="0" w:line="240" w:lineRule="auto"/>
              <w:rPr>
                <w:rFonts w:ascii="Times New Roman" w:hAnsi="Times New Roman"/>
                <w:sz w:val="20"/>
                <w:szCs w:val="20"/>
              </w:rPr>
            </w:pP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FA7CE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Graduate Research Assistant stipend</w:t>
            </w:r>
          </w:p>
        </w:tc>
        <w:tc>
          <w:tcPr>
            <w:tcW w:w="3214" w:type="dxa"/>
            <w:tcBorders>
              <w:top w:val="nil"/>
              <w:left w:val="nil"/>
              <w:bottom w:val="single" w:sz="4" w:space="0" w:color="auto"/>
              <w:right w:val="single" w:sz="4" w:space="0" w:color="auto"/>
            </w:tcBorders>
          </w:tcPr>
          <w:p w:rsidR="007A7210" w:rsidRPr="008E3AF9" w:rsidRDefault="003A542E" w:rsidP="00FA7CE0">
            <w:pPr>
              <w:spacing w:after="0" w:line="240" w:lineRule="auto"/>
              <w:rPr>
                <w:rFonts w:ascii="Times New Roman" w:hAnsi="Times New Roman"/>
                <w:sz w:val="20"/>
                <w:szCs w:val="20"/>
              </w:rPr>
            </w:pPr>
            <w:r>
              <w:rPr>
                <w:rFonts w:ascii="Times New Roman" w:hAnsi="Times New Roman"/>
                <w:color w:val="000000"/>
                <w:sz w:val="20"/>
                <w:szCs w:val="20"/>
              </w:rPr>
              <w:t xml:space="preserve">[Stipends are </w:t>
            </w:r>
            <w:r w:rsidR="001E36DA">
              <w:rPr>
                <w:rFonts w:ascii="Times New Roman" w:hAnsi="Times New Roman"/>
                <w:color w:val="000000"/>
                <w:sz w:val="20"/>
                <w:szCs w:val="20"/>
              </w:rPr>
              <w:t>no, longer</w:t>
            </w:r>
            <w:r>
              <w:rPr>
                <w:rFonts w:ascii="Times New Roman" w:hAnsi="Times New Roman"/>
                <w:color w:val="000000"/>
                <w:sz w:val="20"/>
                <w:szCs w:val="20"/>
              </w:rPr>
              <w:t xml:space="preserve"> allowed, GR must be paid salaries]</w:t>
            </w:r>
            <w:r w:rsidR="007A7210" w:rsidRPr="008E3AF9">
              <w:rPr>
                <w:rFonts w:ascii="Times New Roman" w:hAnsi="Times New Roman"/>
                <w:color w:val="000000"/>
                <w:sz w:val="20"/>
                <w:szCs w:val="20"/>
              </w:rPr>
              <w:t>Allowable when a degree seeking graduate student performs original, professional research related to his or her academic program. The student must be fully matriculated in a graduate or Ph.D. degree program and be under the supervision of an appropriate faculty member.</w:t>
            </w: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7A721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Other Stipends</w:t>
            </w:r>
          </w:p>
        </w:tc>
        <w:tc>
          <w:tcPr>
            <w:tcW w:w="3214" w:type="dxa"/>
            <w:tcBorders>
              <w:top w:val="nil"/>
              <w:left w:val="nil"/>
              <w:bottom w:val="single" w:sz="4" w:space="0" w:color="auto"/>
              <w:right w:val="single" w:sz="4" w:space="0" w:color="auto"/>
            </w:tcBorders>
          </w:tcPr>
          <w:p w:rsidR="007A7210" w:rsidRPr="008E3AF9" w:rsidRDefault="003A542E" w:rsidP="00FA7CE0">
            <w:pPr>
              <w:spacing w:after="0" w:line="240" w:lineRule="auto"/>
              <w:rPr>
                <w:rFonts w:ascii="Times New Roman" w:hAnsi="Times New Roman"/>
                <w:sz w:val="20"/>
                <w:szCs w:val="20"/>
              </w:rPr>
            </w:pPr>
            <w:r>
              <w:rPr>
                <w:rFonts w:ascii="Times New Roman" w:hAnsi="Times New Roman"/>
                <w:color w:val="000000"/>
                <w:sz w:val="20"/>
                <w:szCs w:val="20"/>
              </w:rPr>
              <w:t>[Stipends are not allowed by USF]</w:t>
            </w:r>
            <w:r w:rsidR="007A7210" w:rsidRPr="008E3AF9">
              <w:rPr>
                <w:rFonts w:ascii="Times New Roman" w:hAnsi="Times New Roman"/>
                <w:color w:val="000000"/>
                <w:sz w:val="20"/>
                <w:szCs w:val="20"/>
              </w:rPr>
              <w:t>Allowable only when the purpose of the sponsored agreement is to provide training to selected participants and the charge is approved by the sponsor.</w:t>
            </w:r>
          </w:p>
        </w:tc>
        <w:tc>
          <w:tcPr>
            <w:tcW w:w="2206"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c>
          <w:tcPr>
            <w:tcW w:w="1979" w:type="dxa"/>
            <w:tcBorders>
              <w:top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Same as Federal sponsors</w:t>
            </w:r>
          </w:p>
        </w:tc>
      </w:tr>
      <w:tr w:rsidR="007A7210" w:rsidRPr="008E3AF9" w:rsidTr="00FA7CE0">
        <w:trPr>
          <w:trHeight w:val="387"/>
        </w:trPr>
        <w:tc>
          <w:tcPr>
            <w:tcW w:w="2058" w:type="dxa"/>
            <w:tcBorders>
              <w:top w:val="nil"/>
              <w:left w:val="single" w:sz="4" w:space="0" w:color="auto"/>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t xml:space="preserve">Student Wages - </w:t>
            </w:r>
            <w:r w:rsidRPr="008E3AF9">
              <w:rPr>
                <w:rFonts w:ascii="Times New Roman" w:hAnsi="Times New Roman"/>
                <w:color w:val="000000"/>
                <w:sz w:val="20"/>
                <w:szCs w:val="20"/>
              </w:rPr>
              <w:lastRenderedPageBreak/>
              <w:t>Academic Year</w:t>
            </w:r>
          </w:p>
        </w:tc>
        <w:tc>
          <w:tcPr>
            <w:tcW w:w="3214" w:type="dxa"/>
            <w:tcBorders>
              <w:top w:val="nil"/>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sz w:val="20"/>
                <w:szCs w:val="20"/>
              </w:rPr>
            </w:pPr>
            <w:r w:rsidRPr="008E3AF9">
              <w:rPr>
                <w:rFonts w:ascii="Times New Roman" w:hAnsi="Times New Roman"/>
                <w:sz w:val="20"/>
                <w:szCs w:val="20"/>
              </w:rPr>
              <w:lastRenderedPageBreak/>
              <w:t xml:space="preserve">Allowable provided the wages are </w:t>
            </w:r>
            <w:r w:rsidRPr="008E3AF9">
              <w:rPr>
                <w:rFonts w:ascii="Times New Roman" w:hAnsi="Times New Roman"/>
                <w:sz w:val="20"/>
                <w:szCs w:val="20"/>
              </w:rPr>
              <w:lastRenderedPageBreak/>
              <w:t xml:space="preserve">reasonable, directly related to the work of the sponsored agreement, and documented in accordance with </w:t>
            </w:r>
            <w:r w:rsidR="00527F3E">
              <w:rPr>
                <w:rFonts w:ascii="Times New Roman" w:hAnsi="Times New Roman"/>
                <w:color w:val="000000"/>
                <w:sz w:val="20"/>
                <w:szCs w:val="20"/>
              </w:rPr>
              <w:t>OMB Uniform Guidance</w:t>
            </w:r>
            <w:r w:rsidRPr="008E3AF9">
              <w:rPr>
                <w:rFonts w:ascii="Times New Roman" w:hAnsi="Times New Roman"/>
                <w:sz w:val="20"/>
                <w:szCs w:val="20"/>
              </w:rPr>
              <w:t>.</w:t>
            </w:r>
          </w:p>
        </w:tc>
        <w:tc>
          <w:tcPr>
            <w:tcW w:w="2206" w:type="dxa"/>
            <w:tcBorders>
              <w:top w:val="single" w:sz="4" w:space="0" w:color="auto"/>
              <w:left w:val="nil"/>
              <w:bottom w:val="single" w:sz="4" w:space="0" w:color="auto"/>
              <w:right w:val="single" w:sz="4" w:space="0" w:color="auto"/>
            </w:tcBorders>
          </w:tcPr>
          <w:p w:rsidR="007A7210"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lastRenderedPageBreak/>
              <w:t xml:space="preserve">Allowable provided the </w:t>
            </w:r>
            <w:r w:rsidRPr="008E3AF9">
              <w:rPr>
                <w:rFonts w:ascii="Times New Roman" w:hAnsi="Times New Roman"/>
                <w:color w:val="000000"/>
                <w:sz w:val="20"/>
                <w:szCs w:val="20"/>
              </w:rPr>
              <w:lastRenderedPageBreak/>
              <w:t>wages are reasonable, directly related to the work of the sponsored agreement, and documented in accordance with University procedures</w:t>
            </w:r>
          </w:p>
          <w:p w:rsidR="00117AC7" w:rsidRPr="008E3AF9" w:rsidRDefault="00117AC7" w:rsidP="00FA7CE0">
            <w:pPr>
              <w:spacing w:after="0" w:line="240" w:lineRule="auto"/>
              <w:rPr>
                <w:rFonts w:ascii="Times New Roman" w:hAnsi="Times New Roman"/>
                <w:color w:val="000000"/>
                <w:sz w:val="20"/>
                <w:szCs w:val="20"/>
              </w:rPr>
            </w:pPr>
          </w:p>
        </w:tc>
        <w:tc>
          <w:tcPr>
            <w:tcW w:w="1979" w:type="dxa"/>
            <w:tcBorders>
              <w:top w:val="single" w:sz="4" w:space="0" w:color="auto"/>
              <w:left w:val="nil"/>
              <w:bottom w:val="single" w:sz="4" w:space="0" w:color="auto"/>
              <w:right w:val="single" w:sz="4" w:space="0" w:color="auto"/>
            </w:tcBorders>
          </w:tcPr>
          <w:p w:rsidR="007A7210" w:rsidRPr="008E3AF9" w:rsidRDefault="007A7210" w:rsidP="00FA7CE0">
            <w:pPr>
              <w:spacing w:after="0" w:line="240" w:lineRule="auto"/>
              <w:rPr>
                <w:rFonts w:ascii="Times New Roman" w:hAnsi="Times New Roman"/>
                <w:color w:val="000000"/>
                <w:sz w:val="20"/>
                <w:szCs w:val="20"/>
              </w:rPr>
            </w:pPr>
            <w:r w:rsidRPr="008E3AF9">
              <w:rPr>
                <w:rFonts w:ascii="Times New Roman" w:hAnsi="Times New Roman"/>
                <w:color w:val="000000"/>
                <w:sz w:val="20"/>
                <w:szCs w:val="20"/>
              </w:rPr>
              <w:lastRenderedPageBreak/>
              <w:t xml:space="preserve">Same as Federal </w:t>
            </w:r>
            <w:r w:rsidRPr="008E3AF9">
              <w:rPr>
                <w:rFonts w:ascii="Times New Roman" w:hAnsi="Times New Roman"/>
                <w:color w:val="000000"/>
                <w:sz w:val="20"/>
                <w:szCs w:val="20"/>
              </w:rPr>
              <w:lastRenderedPageBreak/>
              <w:t>sponsors</w:t>
            </w:r>
          </w:p>
        </w:tc>
      </w:tr>
    </w:tbl>
    <w:p w:rsidR="00117AC7" w:rsidRDefault="00117AC7" w:rsidP="00117AC7">
      <w:pPr>
        <w:pStyle w:val="Heading1"/>
        <w:spacing w:before="0" w:after="0"/>
      </w:pPr>
    </w:p>
    <w:p w:rsidR="00117AC7" w:rsidRPr="00117AC7" w:rsidRDefault="00117AC7" w:rsidP="00117AC7"/>
    <w:p w:rsidR="003066E5" w:rsidRPr="008E3AF9" w:rsidRDefault="003066E5" w:rsidP="00117AC7">
      <w:pPr>
        <w:pStyle w:val="Heading1"/>
        <w:numPr>
          <w:ilvl w:val="0"/>
          <w:numId w:val="47"/>
        </w:numPr>
        <w:spacing w:before="0" w:after="0"/>
      </w:pPr>
      <w:bookmarkStart w:id="30" w:name="_Toc405369390"/>
      <w:r w:rsidRPr="00D35807">
        <w:t>Financial</w:t>
      </w:r>
      <w:r w:rsidRPr="008E3AF9">
        <w:t xml:space="preserve"> Management Practices</w:t>
      </w:r>
      <w:bookmarkEnd w:id="30"/>
    </w:p>
    <w:p w:rsidR="003066E5" w:rsidRPr="008E3AF9" w:rsidRDefault="003066E5" w:rsidP="00A35260">
      <w:pPr>
        <w:pStyle w:val="NormalWeb"/>
        <w:spacing w:before="0" w:beforeAutospacing="0" w:after="0" w:afterAutospacing="0" w:line="20" w:lineRule="atLeast"/>
        <w:rPr>
          <w:sz w:val="22"/>
          <w:szCs w:val="22"/>
        </w:rPr>
      </w:pPr>
      <w:r w:rsidRPr="008E3AF9">
        <w:rPr>
          <w:sz w:val="22"/>
          <w:szCs w:val="22"/>
        </w:rPr>
        <w:t xml:space="preserve">Charges to a sponsored project should support the project’s purpose and activity and represent those costs necessary to meet the project’s scientific and technical requirements.  Such charges cannot be assigned arbitrarily or for the purpose of simplified budget management that is unrelated to the sponsored agreement’s purpose.  USF follows </w:t>
      </w:r>
      <w:r w:rsidR="00527F3E">
        <w:rPr>
          <w:sz w:val="22"/>
          <w:szCs w:val="22"/>
        </w:rPr>
        <w:t>the OMB Uniform Guidance</w:t>
      </w:r>
      <w:r w:rsidRPr="008E3AF9">
        <w:rPr>
          <w:sz w:val="22"/>
          <w:szCs w:val="22"/>
        </w:rPr>
        <w:t xml:space="preserve"> that states “Direct costs are those costs that can be identified specifically with a particular sponsored project, an instructional activity, or that can be directly assigned to such activities relatively easily with a high degree of accuracy.  Costs incurred for the same purpose in like circumstances must be treated consistently as either direct or indirect costs.  Where an institution treats a particular type of cost as a direct cost of sponsored agreements, all costs incurred for the same purpose in like circumstances shall be treated as direct costs of all </w:t>
      </w:r>
      <w:r w:rsidR="00527F3E">
        <w:rPr>
          <w:sz w:val="22"/>
          <w:szCs w:val="22"/>
        </w:rPr>
        <w:t>activities of the institution.”</w:t>
      </w:r>
    </w:p>
    <w:p w:rsidR="003066E5" w:rsidRPr="008E3AF9" w:rsidRDefault="003066E5" w:rsidP="00A35260">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31" w:name="_Toc405369391"/>
      <w:r w:rsidRPr="008E3AF9">
        <w:rPr>
          <w:szCs w:val="22"/>
        </w:rPr>
        <w:t>Prior Approvals</w:t>
      </w:r>
      <w:bookmarkEnd w:id="31"/>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Under certain circumstances, prior approvals necessary for project or budgetary changes are required; PIs and their administrators should be aware of when such prior approvals are required and whether they can be granted institutionally or whether agency approval is required. </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The PI and the University are both responsible for adhering to the conditions of the sponsored agreement and obtaining required approvals for changes.  The most common changes needing approval are: </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Re-budgeting within the approved budget (adhere to funder’s guidelines);</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Purchase of equipment or foreign travel not in the approved budget;</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Change in PI or other significant personnel or level of effort;</w:t>
      </w:r>
    </w:p>
    <w:p w:rsidR="003066E5" w:rsidRDefault="003066E5" w:rsidP="007B49E4">
      <w:pPr>
        <w:numPr>
          <w:ilvl w:val="0"/>
          <w:numId w:val="28"/>
        </w:numPr>
        <w:autoSpaceDE w:val="0"/>
        <w:autoSpaceDN w:val="0"/>
        <w:adjustRightInd w:val="0"/>
        <w:spacing w:after="0" w:line="20" w:lineRule="atLeast"/>
        <w:ind w:left="720" w:hanging="360"/>
        <w:rPr>
          <w:rFonts w:ascii="Times New Roman" w:hAnsi="Times New Roman"/>
        </w:rPr>
      </w:pPr>
      <w:r w:rsidRPr="008E3AF9">
        <w:rPr>
          <w:rFonts w:ascii="Times New Roman" w:hAnsi="Times New Roman"/>
        </w:rPr>
        <w:t>No-cost extension of the project period.</w:t>
      </w:r>
    </w:p>
    <w:p w:rsidR="003066E5" w:rsidRPr="008E3AF9" w:rsidRDefault="003066E5" w:rsidP="00D00081">
      <w:pPr>
        <w:autoSpaceDE w:val="0"/>
        <w:autoSpaceDN w:val="0"/>
        <w:adjustRightInd w:val="0"/>
        <w:spacing w:after="0" w:line="20" w:lineRule="atLeast"/>
        <w:rPr>
          <w:rFonts w:ascii="Times New Roman" w:hAnsi="Times New Roman"/>
        </w:rPr>
      </w:pPr>
    </w:p>
    <w:p w:rsidR="003066E5" w:rsidRPr="008E3AF9" w:rsidRDefault="003066E5" w:rsidP="00D00081">
      <w:pPr>
        <w:autoSpaceDE w:val="0"/>
        <w:autoSpaceDN w:val="0"/>
        <w:adjustRightInd w:val="0"/>
        <w:spacing w:after="0" w:line="20" w:lineRule="atLeast"/>
        <w:rPr>
          <w:rFonts w:ascii="Times New Roman" w:hAnsi="Times New Roman"/>
        </w:rPr>
      </w:pPr>
      <w:r w:rsidRPr="008E3AF9">
        <w:rPr>
          <w:rFonts w:ascii="Times New Roman" w:hAnsi="Times New Roman"/>
        </w:rPr>
        <w:t xml:space="preserve">If revisions are necessary, please contact the OCG for assistance. </w:t>
      </w:r>
      <w:r>
        <w:rPr>
          <w:rFonts w:ascii="Times New Roman" w:hAnsi="Times New Roman"/>
        </w:rPr>
        <w:t xml:space="preserve">OCG will request the changes from the sponsor on behalf of the PI.  </w:t>
      </w:r>
      <w:r w:rsidRPr="008E3AF9">
        <w:rPr>
          <w:rFonts w:ascii="Times New Roman" w:hAnsi="Times New Roman"/>
        </w:rPr>
        <w:t xml:space="preserve">Changes in scope of work, key personnel, or level of effort must always be approved by the sponsor. </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FA7CE0" w:rsidP="00D35807">
      <w:pPr>
        <w:pStyle w:val="Heading1"/>
        <w:numPr>
          <w:ilvl w:val="0"/>
          <w:numId w:val="47"/>
        </w:numPr>
        <w:rPr>
          <w:szCs w:val="22"/>
        </w:rPr>
      </w:pPr>
      <w:r>
        <w:rPr>
          <w:szCs w:val="22"/>
        </w:rPr>
        <w:t xml:space="preserve"> </w:t>
      </w:r>
      <w:bookmarkStart w:id="32" w:name="_Toc405369392"/>
      <w:r w:rsidR="003066E5" w:rsidRPr="008E3AF9">
        <w:rPr>
          <w:szCs w:val="22"/>
        </w:rPr>
        <w:t>Budget Reallocation</w:t>
      </w:r>
      <w:bookmarkEnd w:id="32"/>
    </w:p>
    <w:p w:rsidR="003066E5" w:rsidRPr="008E3AF9" w:rsidRDefault="003066E5" w:rsidP="006536B1">
      <w:pPr>
        <w:spacing w:after="0" w:line="20" w:lineRule="atLeast"/>
        <w:rPr>
          <w:rFonts w:ascii="Times New Roman" w:hAnsi="Times New Roman"/>
        </w:rPr>
      </w:pPr>
      <w:r w:rsidRPr="008E3AF9">
        <w:rPr>
          <w:rFonts w:ascii="Times New Roman" w:hAnsi="Times New Roman"/>
        </w:rPr>
        <w:t>In circumstances when PIs wish to make a change in a project budget, staff, scope of work or dates, it may require the sponsor’s explicit approval.  The PI should prepare the request to the sponsor, pro</w:t>
      </w:r>
      <w:r w:rsidR="00BF107D">
        <w:rPr>
          <w:rFonts w:ascii="Times New Roman" w:hAnsi="Times New Roman"/>
        </w:rPr>
        <w:t xml:space="preserve">viding necessary justification </w:t>
      </w:r>
      <w:r w:rsidRPr="008E3AF9">
        <w:rPr>
          <w:rFonts w:ascii="Times New Roman" w:hAnsi="Times New Roman"/>
        </w:rPr>
        <w:t xml:space="preserve">and submit the request to the OCG </w:t>
      </w:r>
      <w:r w:rsidRPr="008E3AF9">
        <w:rPr>
          <w:rFonts w:ascii="Times New Roman" w:hAnsi="Times New Roman"/>
          <w:b/>
          <w:u w:val="single"/>
        </w:rPr>
        <w:t>before</w:t>
      </w:r>
      <w:r w:rsidRPr="008E3AF9">
        <w:rPr>
          <w:rFonts w:ascii="Times New Roman" w:hAnsi="Times New Roman"/>
        </w:rPr>
        <w:t xml:space="preserve"> the change occurs.  The OCG will review the request to make sure the content and justification are suitable, and then forward it to the sponsor.  Since either the sponsor may reply directly to the PI or the OCG, each should inform the other when they receive a reply from the sponsor.</w:t>
      </w:r>
    </w:p>
    <w:p w:rsidR="003066E5" w:rsidRPr="008E3AF9" w:rsidRDefault="003066E5" w:rsidP="006536B1">
      <w:pPr>
        <w:spacing w:after="0" w:line="20" w:lineRule="atLeast"/>
        <w:rPr>
          <w:rFonts w:ascii="Times New Roman" w:hAnsi="Times New Roman"/>
        </w:rPr>
      </w:pPr>
    </w:p>
    <w:p w:rsidR="003066E5" w:rsidRPr="008E3AF9" w:rsidRDefault="003066E5" w:rsidP="006536B1">
      <w:pPr>
        <w:spacing w:after="0" w:line="20" w:lineRule="atLeast"/>
        <w:rPr>
          <w:rFonts w:ascii="Times New Roman" w:hAnsi="Times New Roman"/>
        </w:rPr>
      </w:pPr>
      <w:r w:rsidRPr="008E3AF9">
        <w:rPr>
          <w:rFonts w:ascii="Times New Roman" w:hAnsi="Times New Roman"/>
        </w:rPr>
        <w:t xml:space="preserve">Expanded authority is the operating authority provided to grantees by </w:t>
      </w:r>
      <w:r>
        <w:rPr>
          <w:rFonts w:ascii="Times New Roman" w:hAnsi="Times New Roman"/>
        </w:rPr>
        <w:t>Federal agencies</w:t>
      </w:r>
      <w:r w:rsidRPr="008E3AF9">
        <w:rPr>
          <w:rFonts w:ascii="Times New Roman" w:hAnsi="Times New Roman"/>
        </w:rPr>
        <w:t xml:space="preserve"> that waives the normally-required sponsor pre-approval for specific actions.</w:t>
      </w:r>
    </w:p>
    <w:p w:rsidR="003066E5" w:rsidRPr="008E3AF9" w:rsidRDefault="003066E5" w:rsidP="006536B1">
      <w:pPr>
        <w:spacing w:after="0" w:line="20" w:lineRule="atLeast"/>
        <w:rPr>
          <w:rFonts w:ascii="Times New Roman" w:hAnsi="Times New Roman"/>
        </w:rPr>
      </w:pPr>
    </w:p>
    <w:p w:rsidR="003066E5" w:rsidRPr="008E3AF9" w:rsidRDefault="003066E5" w:rsidP="006536B1">
      <w:pPr>
        <w:spacing w:after="0" w:line="20" w:lineRule="atLeast"/>
        <w:rPr>
          <w:rFonts w:ascii="Times New Roman" w:hAnsi="Times New Roman"/>
        </w:rPr>
      </w:pPr>
      <w:r w:rsidRPr="008E3AF9">
        <w:rPr>
          <w:rFonts w:ascii="Times New Roman" w:hAnsi="Times New Roman"/>
        </w:rPr>
        <w:t xml:space="preserve">Examples of changes </w:t>
      </w:r>
      <w:r w:rsidRPr="008E3AF9">
        <w:rPr>
          <w:rFonts w:ascii="Times New Roman" w:hAnsi="Times New Roman"/>
          <w:b/>
          <w:u w:val="single"/>
        </w:rPr>
        <w:t>not</w:t>
      </w:r>
      <w:r w:rsidRPr="008E3AF9">
        <w:rPr>
          <w:rFonts w:ascii="Times New Roman" w:hAnsi="Times New Roman"/>
        </w:rPr>
        <w:t xml:space="preserve"> covered under expanded authority (i.e. written agency approval is required to do any of the following):</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Change the scope or the objective of the project or program;</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Change a key person specified in the application or award document;</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Absence of the principal investigator for more than three months;</w:t>
      </w:r>
    </w:p>
    <w:p w:rsidR="003066E5" w:rsidRPr="008E3AF9" w:rsidRDefault="00E0711F" w:rsidP="00943E4D">
      <w:pPr>
        <w:numPr>
          <w:ilvl w:val="0"/>
          <w:numId w:val="10"/>
        </w:numPr>
        <w:spacing w:after="0" w:line="20" w:lineRule="atLeast"/>
        <w:rPr>
          <w:rFonts w:ascii="Times New Roman" w:hAnsi="Times New Roman"/>
        </w:rPr>
      </w:pPr>
      <w:r>
        <w:rPr>
          <w:rFonts w:ascii="Times New Roman" w:hAnsi="Times New Roman"/>
        </w:rPr>
        <w:t>Reduction in time devoted to a F</w:t>
      </w:r>
      <w:r w:rsidR="003066E5" w:rsidRPr="008E3AF9">
        <w:rPr>
          <w:rFonts w:ascii="Times New Roman" w:hAnsi="Times New Roman"/>
        </w:rPr>
        <w:t>ederal project by 25% or more;</w:t>
      </w:r>
    </w:p>
    <w:p w:rsidR="003066E5" w:rsidRPr="008E3AF9" w:rsidRDefault="003066E5" w:rsidP="00943E4D">
      <w:pPr>
        <w:numPr>
          <w:ilvl w:val="0"/>
          <w:numId w:val="10"/>
        </w:numPr>
        <w:spacing w:after="0" w:line="20" w:lineRule="atLeast"/>
        <w:rPr>
          <w:rFonts w:ascii="Times New Roman" w:hAnsi="Times New Roman"/>
        </w:rPr>
      </w:pPr>
      <w:r w:rsidRPr="008E3AF9">
        <w:rPr>
          <w:rFonts w:ascii="Times New Roman" w:hAnsi="Times New Roman"/>
        </w:rPr>
        <w:t>Change in circumstances whereby additional Federal funding is needed to complete the project.</w:t>
      </w:r>
    </w:p>
    <w:p w:rsidR="003066E5" w:rsidRPr="008E3AF9" w:rsidRDefault="003066E5" w:rsidP="006536B1">
      <w:pPr>
        <w:pStyle w:val="ListParagraph"/>
        <w:spacing w:after="0" w:line="20" w:lineRule="atLeast"/>
        <w:ind w:left="0"/>
        <w:rPr>
          <w:rFonts w:ascii="Times New Roman" w:hAnsi="Times New Roman"/>
          <w:b/>
          <w:u w:val="single"/>
        </w:rPr>
      </w:pPr>
    </w:p>
    <w:p w:rsidR="003066E5" w:rsidRPr="008E3AF9" w:rsidRDefault="00FA7CE0" w:rsidP="00D35807">
      <w:pPr>
        <w:pStyle w:val="Heading1"/>
        <w:numPr>
          <w:ilvl w:val="0"/>
          <w:numId w:val="47"/>
        </w:numPr>
        <w:rPr>
          <w:szCs w:val="22"/>
        </w:rPr>
      </w:pPr>
      <w:r>
        <w:rPr>
          <w:szCs w:val="22"/>
        </w:rPr>
        <w:t xml:space="preserve"> </w:t>
      </w:r>
      <w:bookmarkStart w:id="33" w:name="_Toc405369393"/>
      <w:r w:rsidR="003066E5" w:rsidRPr="008E3AF9">
        <w:rPr>
          <w:szCs w:val="22"/>
        </w:rPr>
        <w:t>Cost Transfers</w:t>
      </w:r>
      <w:bookmarkEnd w:id="33"/>
    </w:p>
    <w:p w:rsidR="003066E5" w:rsidRPr="008E3AF9" w:rsidRDefault="00E0711F" w:rsidP="004F5D55">
      <w:pPr>
        <w:autoSpaceDE w:val="0"/>
        <w:autoSpaceDN w:val="0"/>
        <w:adjustRightInd w:val="0"/>
        <w:spacing w:after="0" w:line="20" w:lineRule="atLeast"/>
        <w:rPr>
          <w:rFonts w:ascii="Times New Roman" w:hAnsi="Times New Roman"/>
        </w:rPr>
      </w:pPr>
      <w:r>
        <w:rPr>
          <w:rFonts w:ascii="Times New Roman" w:hAnsi="Times New Roman"/>
        </w:rPr>
        <w:t>Many F</w:t>
      </w:r>
      <w:r w:rsidR="003066E5" w:rsidRPr="00B13D84">
        <w:rPr>
          <w:rFonts w:ascii="Times New Roman" w:hAnsi="Times New Roman"/>
        </w:rPr>
        <w:t>ederal agencies that perform audits</w:t>
      </w:r>
      <w:r w:rsidR="003066E5" w:rsidRPr="008847EA">
        <w:rPr>
          <w:rFonts w:ascii="Times New Roman" w:hAnsi="Times New Roman"/>
        </w:rPr>
        <w:t xml:space="preserve"> of sponsored</w:t>
      </w:r>
      <w:r w:rsidR="003066E5" w:rsidRPr="008E3AF9">
        <w:rPr>
          <w:rFonts w:ascii="Times New Roman" w:hAnsi="Times New Roman"/>
        </w:rPr>
        <w:t xml:space="preserve"> programs at colleges and universities have focused attention on untimely or unsubstantiated cost transfers (i.e., moving transactions from one sponsored project to another).  Funding agencies have questioned and/or disallowed transfers when they occurred frequently on an award, when they were not processed timely, (occurring several months or more after the initial charge was recorded), and/or when there was an inadequate explanation or lack of accompanying documentation.  Transfers of this type, particularly when they occur on projects with cost overruns or unexpended balances, cause agencies to question their appropriateness, as well as the overall reliability of the recipient's accounting system and their ability to properly administer sponsored programs.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It is the PI’s responsibility to monitor all transactions charged to his/her sponsored project.  Per OMB </w:t>
      </w:r>
      <w:r w:rsidR="00527F3E">
        <w:rPr>
          <w:rFonts w:ascii="Times New Roman" w:hAnsi="Times New Roman"/>
        </w:rPr>
        <w:t>Uniform Guidance</w:t>
      </w:r>
      <w:r w:rsidRPr="008E3AF9">
        <w:rPr>
          <w:rFonts w:ascii="Times New Roman" w:hAnsi="Times New Roman"/>
        </w:rPr>
        <w:t>, all cost transfers must be reasonable, allocable, treated consistently throughout the University, and conform to any limitations or exclusions in the sponsored agreement. If it is determined that a cost transfer is required, the following should be noted:</w:t>
      </w:r>
    </w:p>
    <w:p w:rsidR="003066E5" w:rsidRPr="008E3AF9" w:rsidRDefault="003066E5" w:rsidP="004F5D55">
      <w:pPr>
        <w:numPr>
          <w:ilvl w:val="0"/>
          <w:numId w:val="7"/>
        </w:numPr>
        <w:autoSpaceDE w:val="0"/>
        <w:autoSpaceDN w:val="0"/>
        <w:adjustRightInd w:val="0"/>
        <w:spacing w:after="0" w:line="20" w:lineRule="atLeast"/>
        <w:rPr>
          <w:rFonts w:ascii="Times New Roman" w:hAnsi="Times New Roman"/>
        </w:rPr>
      </w:pPr>
      <w:r w:rsidRPr="008E3AF9">
        <w:rPr>
          <w:rFonts w:ascii="Times New Roman" w:hAnsi="Times New Roman"/>
        </w:rPr>
        <w:t xml:space="preserve">Cost transfers representing corrections of clerical or bookkeeping errors (i.e., transactions inadvertently charged to the wrong project) </w:t>
      </w:r>
      <w:r w:rsidRPr="008E3AF9">
        <w:rPr>
          <w:rFonts w:ascii="Times New Roman" w:hAnsi="Times New Roman"/>
          <w:b/>
          <w:bCs/>
          <w:i/>
          <w:iCs/>
        </w:rPr>
        <w:t xml:space="preserve">must be made promptly </w:t>
      </w:r>
      <w:r w:rsidRPr="008E3AF9">
        <w:rPr>
          <w:rFonts w:ascii="Times New Roman" w:hAnsi="Times New Roman"/>
        </w:rPr>
        <w:t xml:space="preserve">after the errors are discovered.  Cost transfers must be made within 90 days of the original transaction.  When a transfer is made after 90 days, it raises serious questions regarding the appropriateness / </w:t>
      </w:r>
      <w:proofErr w:type="spellStart"/>
      <w:r w:rsidRPr="008E3AF9">
        <w:rPr>
          <w:rFonts w:ascii="Times New Roman" w:hAnsi="Times New Roman"/>
        </w:rPr>
        <w:t>allowability</w:t>
      </w:r>
      <w:proofErr w:type="spellEnd"/>
      <w:r w:rsidRPr="008E3AF9">
        <w:rPr>
          <w:rFonts w:ascii="Times New Roman" w:hAnsi="Times New Roman"/>
        </w:rPr>
        <w:t xml:space="preserve"> of the transfer.</w:t>
      </w:r>
    </w:p>
    <w:p w:rsidR="003066E5" w:rsidRPr="008E3AF9" w:rsidRDefault="003066E5" w:rsidP="004F5D55">
      <w:pPr>
        <w:numPr>
          <w:ilvl w:val="0"/>
          <w:numId w:val="6"/>
        </w:numPr>
        <w:autoSpaceDE w:val="0"/>
        <w:autoSpaceDN w:val="0"/>
        <w:adjustRightInd w:val="0"/>
        <w:spacing w:after="0" w:line="20" w:lineRule="atLeast"/>
        <w:rPr>
          <w:rFonts w:ascii="Times New Roman" w:hAnsi="Times New Roman"/>
          <w:i/>
        </w:rPr>
      </w:pPr>
      <w:r w:rsidRPr="008E3AF9">
        <w:rPr>
          <w:rFonts w:ascii="Times New Roman" w:hAnsi="Times New Roman"/>
        </w:rPr>
        <w:t xml:space="preserve">All transfers </w:t>
      </w:r>
      <w:r w:rsidRPr="008E3AF9">
        <w:rPr>
          <w:rFonts w:ascii="Times New Roman" w:hAnsi="Times New Roman"/>
          <w:b/>
          <w:bCs/>
          <w:i/>
          <w:iCs/>
        </w:rPr>
        <w:t xml:space="preserve">must be supported by documentation </w:t>
      </w:r>
      <w:r w:rsidRPr="008E3AF9">
        <w:rPr>
          <w:rFonts w:ascii="Times New Roman" w:hAnsi="Times New Roman"/>
        </w:rPr>
        <w:t xml:space="preserve">which contains a full explanation of how the error occurred and a certification of the correctness of the new charge.  An explanation which merely states that the transfer was made "to correct an error" or "to transfer the charge to the correct project" is not sufficient.  </w:t>
      </w:r>
      <w:r w:rsidRPr="008E3AF9">
        <w:rPr>
          <w:rFonts w:ascii="Times New Roman" w:hAnsi="Times New Roman"/>
          <w:i/>
        </w:rPr>
        <w:t xml:space="preserve">Note: frequent errors in recording costs may indicate the need for improvements in the academic unit's fiscal administration of sponsored projects and/or its internal control system.  Departments may be asked / required to evaluate the need for improvements in these areas and to implement necessary changes. </w:t>
      </w:r>
    </w:p>
    <w:p w:rsidR="003066E5" w:rsidRPr="008E3AF9" w:rsidRDefault="003066E5" w:rsidP="004F5D55">
      <w:pPr>
        <w:numPr>
          <w:ilvl w:val="0"/>
          <w:numId w:val="6"/>
        </w:numPr>
        <w:autoSpaceDE w:val="0"/>
        <w:autoSpaceDN w:val="0"/>
        <w:adjustRightInd w:val="0"/>
        <w:spacing w:after="0" w:line="20" w:lineRule="atLeast"/>
        <w:rPr>
          <w:rFonts w:ascii="Times New Roman" w:hAnsi="Times New Roman"/>
        </w:rPr>
      </w:pPr>
      <w:r w:rsidRPr="008E3AF9">
        <w:rPr>
          <w:rFonts w:ascii="Times New Roman" w:hAnsi="Times New Roman"/>
        </w:rPr>
        <w:t>Transfers which involve a change in previously certified effort will require a further statement indicating why the effort reporting was not corrected prior to the original certification.  In addition, a statement that the revised distribution of pay accurately represents effort during the period indicated will be required.</w:t>
      </w:r>
    </w:p>
    <w:p w:rsidR="003066E5" w:rsidRPr="00E0711F" w:rsidRDefault="003066E5" w:rsidP="00E0711F">
      <w:pPr>
        <w:numPr>
          <w:ilvl w:val="0"/>
          <w:numId w:val="6"/>
        </w:numPr>
        <w:autoSpaceDE w:val="0"/>
        <w:autoSpaceDN w:val="0"/>
        <w:adjustRightInd w:val="0"/>
        <w:spacing w:after="0" w:line="20" w:lineRule="atLeast"/>
        <w:rPr>
          <w:rFonts w:ascii="Times New Roman" w:hAnsi="Times New Roman"/>
        </w:rPr>
      </w:pPr>
      <w:r w:rsidRPr="008E3AF9">
        <w:rPr>
          <w:rFonts w:ascii="Times New Roman" w:hAnsi="Times New Roman"/>
        </w:rPr>
        <w:t xml:space="preserve">All cost transfers </w:t>
      </w:r>
      <w:r w:rsidR="00E0711F">
        <w:rPr>
          <w:rFonts w:ascii="Times New Roman" w:hAnsi="Times New Roman"/>
        </w:rPr>
        <w:t>of expenditures to a f</w:t>
      </w:r>
      <w:r w:rsidRPr="00E0711F">
        <w:rPr>
          <w:rFonts w:ascii="Times New Roman" w:hAnsi="Times New Roman"/>
        </w:rPr>
        <w:t xml:space="preserve">ederally sponsored project will require approval by the OCG.  </w:t>
      </w:r>
    </w:p>
    <w:p w:rsidR="003066E5" w:rsidRPr="008E3AF9" w:rsidRDefault="003066E5" w:rsidP="004F5D55">
      <w:pPr>
        <w:numPr>
          <w:ilvl w:val="0"/>
          <w:numId w:val="6"/>
        </w:numPr>
        <w:autoSpaceDE w:val="0"/>
        <w:autoSpaceDN w:val="0"/>
        <w:adjustRightInd w:val="0"/>
        <w:spacing w:after="0" w:line="20" w:lineRule="atLeast"/>
        <w:rPr>
          <w:rFonts w:ascii="Times New Roman" w:hAnsi="Times New Roman"/>
        </w:rPr>
      </w:pPr>
      <w:r>
        <w:rPr>
          <w:rFonts w:ascii="Times New Roman" w:hAnsi="Times New Roman"/>
        </w:rPr>
        <w:t>The PI must use the Cost Transfer Form and follow the Cost Transfer Policy instructions developed by the OCG in September 2011.  The form must be signed by the PI and include supporting documentation. The OCG can assist the PI with the necessary information required on the form, such as the original document reference number, the date in which the transaction posted to the accounting ledger, and a copy of the original ledger documentation.</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 xml:space="preserve">When a PI processes or requests a cost transfer for a transaction that is 90 or more days after the date the original transaction was posted to the sponsored project, a detailed explanation of why the transfer is late </w:t>
      </w:r>
      <w:r w:rsidRPr="008E3AF9">
        <w:rPr>
          <w:rFonts w:ascii="Times New Roman" w:hAnsi="Times New Roman"/>
        </w:rPr>
        <w:lastRenderedPageBreak/>
        <w:t>must accompany the request.  Note: all cost transfers beyond the 90 day period, are subject to the review and approval of the OCG.</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34" w:name="_Toc405369394"/>
      <w:r w:rsidRPr="008E3AF9">
        <w:rPr>
          <w:szCs w:val="22"/>
        </w:rPr>
        <w:t>Application of F&amp;A Costs</w:t>
      </w:r>
      <w:bookmarkEnd w:id="34"/>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Institutional F&amp;A rates may not always be allowable on particular sponsored programs awards</w:t>
      </w:r>
      <w:r>
        <w:rPr>
          <w:rFonts w:ascii="Times New Roman" w:hAnsi="Times New Roman"/>
        </w:rPr>
        <w:t>,</w:t>
      </w:r>
      <w:r w:rsidRPr="008E3AF9">
        <w:rPr>
          <w:rFonts w:ascii="Times New Roman" w:hAnsi="Times New Roman"/>
        </w:rPr>
        <w:t xml:space="preserve"> or if they are allowable, </w:t>
      </w:r>
      <w:r>
        <w:rPr>
          <w:rFonts w:ascii="Times New Roman" w:hAnsi="Times New Roman"/>
        </w:rPr>
        <w:t xml:space="preserve">they </w:t>
      </w:r>
      <w:r w:rsidRPr="008E3AF9">
        <w:rPr>
          <w:rFonts w:ascii="Times New Roman" w:hAnsi="Times New Roman"/>
        </w:rPr>
        <w:t xml:space="preserve">may not be allowable at the </w:t>
      </w:r>
      <w:r>
        <w:rPr>
          <w:rFonts w:ascii="Times New Roman" w:hAnsi="Times New Roman"/>
        </w:rPr>
        <w:t xml:space="preserve">institution’s </w:t>
      </w:r>
      <w:r w:rsidR="00E0711F">
        <w:rPr>
          <w:rFonts w:ascii="Times New Roman" w:hAnsi="Times New Roman"/>
        </w:rPr>
        <w:t>f</w:t>
      </w:r>
      <w:r w:rsidRPr="008E3AF9">
        <w:rPr>
          <w:rFonts w:ascii="Times New Roman" w:hAnsi="Times New Roman"/>
        </w:rPr>
        <w:t>ederally negotiated rates.  For example, training awards (e.g., R15, R21, K08) typically have an 8% F&amp;A rate.  Consequently it is important that institutional systems either allow for such variations or that the post-award administration office be able to appropriately levy the allowable rates.</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3956C3">
      <w:pPr>
        <w:pStyle w:val="Default"/>
        <w:spacing w:line="20" w:lineRule="atLeast"/>
        <w:rPr>
          <w:sz w:val="22"/>
          <w:szCs w:val="22"/>
        </w:rPr>
      </w:pPr>
      <w:r w:rsidRPr="008E3AF9">
        <w:rPr>
          <w:sz w:val="22"/>
          <w:szCs w:val="22"/>
        </w:rPr>
        <w:t>Some funding sources (such as private foundations) impose a restriction on F&amp;A costs or overhead, by rate or dollar amount, or disallow these costs entirely.  Written documentation of such a policy must accompany proposals throughout the proposal ap</w:t>
      </w:r>
      <w:r w:rsidRPr="00637560">
        <w:rPr>
          <w:sz w:val="22"/>
          <w:szCs w:val="22"/>
        </w:rPr>
        <w:t>proval pro</w:t>
      </w:r>
      <w:r w:rsidR="00E0711F" w:rsidRPr="00637560">
        <w:rPr>
          <w:sz w:val="22"/>
          <w:szCs w:val="22"/>
        </w:rPr>
        <w:t>cess.  Exceptions to using the f</w:t>
      </w:r>
      <w:r w:rsidRPr="00637560">
        <w:rPr>
          <w:sz w:val="22"/>
          <w:szCs w:val="22"/>
        </w:rPr>
        <w:t>ederally negotiated rate must be requested in writing and submitted to the OCG for approval by the Provost</w:t>
      </w:r>
      <w:r w:rsidR="004D5220" w:rsidRPr="00637560">
        <w:rPr>
          <w:sz w:val="22"/>
          <w:szCs w:val="22"/>
        </w:rPr>
        <w:t xml:space="preserve"> prior to the submission of the proposal</w:t>
      </w:r>
      <w:r w:rsidRPr="00637560">
        <w:rPr>
          <w:sz w:val="22"/>
          <w:szCs w:val="22"/>
        </w:rPr>
        <w:t>.</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D35807">
      <w:pPr>
        <w:pStyle w:val="Heading1"/>
        <w:numPr>
          <w:ilvl w:val="0"/>
          <w:numId w:val="47"/>
        </w:numPr>
        <w:rPr>
          <w:szCs w:val="22"/>
        </w:rPr>
      </w:pPr>
      <w:bookmarkStart w:id="35" w:name="_Toc405369395"/>
      <w:r w:rsidRPr="008E3AF9">
        <w:rPr>
          <w:szCs w:val="22"/>
        </w:rPr>
        <w:t>Cost Sharing</w:t>
      </w:r>
      <w:bookmarkEnd w:id="35"/>
    </w:p>
    <w:p w:rsidR="003066E5" w:rsidRPr="008E3AF9" w:rsidRDefault="003066E5" w:rsidP="00BE523B">
      <w:pPr>
        <w:spacing w:after="0" w:line="20" w:lineRule="atLeast"/>
        <w:rPr>
          <w:rFonts w:ascii="Times New Roman" w:hAnsi="Times New Roman"/>
        </w:rPr>
      </w:pPr>
      <w:r w:rsidRPr="008E3AF9">
        <w:rPr>
          <w:rFonts w:ascii="Times New Roman" w:hAnsi="Times New Roman"/>
        </w:rPr>
        <w:t xml:space="preserve">Cost sharing is defined as all contributions, including cash and third party in-kind project or program costs, which are not supported by the sponsored agency.  The term “Matching Funds” refers to a specific kind of cost sharing known as “Mandatory Cost Sharing” that must be provided to be eligible for an award. </w:t>
      </w:r>
    </w:p>
    <w:p w:rsidR="003066E5" w:rsidRPr="008E3AF9" w:rsidRDefault="003066E5" w:rsidP="00BE523B">
      <w:pPr>
        <w:spacing w:after="0" w:line="20" w:lineRule="atLeast"/>
        <w:rPr>
          <w:rFonts w:ascii="Times New Roman" w:hAnsi="Times New Roman"/>
        </w:rPr>
      </w:pPr>
    </w:p>
    <w:p w:rsidR="003066E5" w:rsidRPr="008E3AF9" w:rsidRDefault="003066E5" w:rsidP="00BE523B">
      <w:pPr>
        <w:spacing w:after="0" w:line="20" w:lineRule="atLeast"/>
        <w:rPr>
          <w:rFonts w:ascii="Times New Roman" w:hAnsi="Times New Roman"/>
        </w:rPr>
      </w:pPr>
      <w:r w:rsidRPr="008E3AF9">
        <w:rPr>
          <w:rFonts w:ascii="Times New Roman" w:hAnsi="Times New Roman"/>
        </w:rPr>
        <w:t>Cost Sharing can take the form of:</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Time contributed</w:t>
      </w:r>
      <w:r w:rsidR="00D21B62">
        <w:rPr>
          <w:rFonts w:ascii="Times New Roman" w:hAnsi="Times New Roman"/>
        </w:rPr>
        <w:t xml:space="preserve"> by individuals employed under </w:t>
      </w:r>
      <w:r w:rsidRPr="008E3AF9">
        <w:rPr>
          <w:rFonts w:ascii="Times New Roman" w:hAnsi="Times New Roman"/>
        </w:rPr>
        <w:t>a continuing contract by USF;</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Fund</w:t>
      </w:r>
      <w:r>
        <w:rPr>
          <w:rFonts w:ascii="Times New Roman" w:hAnsi="Times New Roman"/>
        </w:rPr>
        <w:t>s</w:t>
      </w:r>
      <w:r w:rsidR="00D21B62">
        <w:rPr>
          <w:rFonts w:ascii="Times New Roman" w:hAnsi="Times New Roman"/>
        </w:rPr>
        <w:t xml:space="preserve"> designated</w:t>
      </w:r>
      <w:r w:rsidRPr="008E3AF9">
        <w:rPr>
          <w:rFonts w:ascii="Times New Roman" w:hAnsi="Times New Roman"/>
        </w:rPr>
        <w:t xml:space="preserve"> for non-personnel costs (e.g. supplies, travel, contractual services, and equipment purchases) from a USF account;</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Contributions of personnel time or other allowable costs from third parties;</w:t>
      </w:r>
    </w:p>
    <w:p w:rsidR="003066E5" w:rsidRDefault="003066E5" w:rsidP="00BE523B">
      <w:pPr>
        <w:spacing w:after="0" w:line="20" w:lineRule="atLeast"/>
        <w:rPr>
          <w:rFonts w:ascii="Times New Roman" w:hAnsi="Times New Roman"/>
        </w:rPr>
      </w:pPr>
    </w:p>
    <w:p w:rsidR="003066E5" w:rsidRPr="008E3AF9" w:rsidRDefault="003066E5" w:rsidP="00BE523B">
      <w:pPr>
        <w:spacing w:after="0" w:line="20" w:lineRule="atLeast"/>
        <w:rPr>
          <w:rFonts w:ascii="Times New Roman" w:hAnsi="Times New Roman"/>
        </w:rPr>
      </w:pPr>
      <w:r w:rsidRPr="008E3AF9">
        <w:rPr>
          <w:rFonts w:ascii="Times New Roman" w:hAnsi="Times New Roman"/>
        </w:rPr>
        <w:t>There are two types of cost sharing at the initial proposal stage:</w:t>
      </w:r>
    </w:p>
    <w:p w:rsidR="003066E5" w:rsidRPr="008E3AF9" w:rsidRDefault="003066E5" w:rsidP="00943E4D">
      <w:pPr>
        <w:pStyle w:val="ListParagraph"/>
        <w:numPr>
          <w:ilvl w:val="0"/>
          <w:numId w:val="35"/>
        </w:numPr>
        <w:spacing w:after="0" w:line="20" w:lineRule="atLeast"/>
        <w:rPr>
          <w:rFonts w:ascii="Times New Roman" w:hAnsi="Times New Roman"/>
        </w:rPr>
      </w:pPr>
      <w:r w:rsidRPr="008E3AF9">
        <w:rPr>
          <w:rFonts w:ascii="Times New Roman" w:hAnsi="Times New Roman"/>
        </w:rPr>
        <w:t>“Mandatory cost sharing” or “Matching” is cost sharing that is legally required by the awarding agency as a condition of the award.  When cost sharing is required, the funding agency is required to specify this requirement in the funding agency’s program announcement.</w:t>
      </w:r>
    </w:p>
    <w:p w:rsidR="003066E5" w:rsidRDefault="003066E5" w:rsidP="004425BD">
      <w:pPr>
        <w:pStyle w:val="ListParagraph"/>
        <w:spacing w:after="0" w:line="20" w:lineRule="atLeast"/>
      </w:pPr>
      <w:r w:rsidRPr="008E3AF9">
        <w:rPr>
          <w:rFonts w:ascii="Times New Roman" w:hAnsi="Times New Roman"/>
        </w:rPr>
        <w:t>“Voluntary committed cost sharing” is not required by the awarding agency as a condition of the award</w:t>
      </w:r>
      <w:r>
        <w:rPr>
          <w:rFonts w:ascii="Times New Roman" w:hAnsi="Times New Roman"/>
        </w:rPr>
        <w:t>.  USF does not voluntarily commit cost share on grants when it is not required by the funder.</w:t>
      </w:r>
    </w:p>
    <w:p w:rsidR="003066E5" w:rsidRDefault="003066E5" w:rsidP="004425BD">
      <w:pPr>
        <w:pStyle w:val="ListParagraph"/>
        <w:spacing w:after="0" w:line="20" w:lineRule="atLeast"/>
      </w:pPr>
    </w:p>
    <w:p w:rsidR="003066E5" w:rsidRPr="008E3AF9" w:rsidRDefault="003066E5" w:rsidP="00BE523B">
      <w:pPr>
        <w:spacing w:after="0" w:line="20" w:lineRule="atLeast"/>
        <w:rPr>
          <w:rFonts w:ascii="Times New Roman" w:hAnsi="Times New Roman"/>
        </w:rPr>
      </w:pPr>
      <w:r w:rsidRPr="008E3AF9">
        <w:rPr>
          <w:rFonts w:ascii="Times New Roman" w:hAnsi="Times New Roman"/>
        </w:rPr>
        <w:t>Mandatory cost sharing must be tracked and reported in the final financial report for the award.  Voluntary committed cost sharing also needs to be tracked and becomes part of USF’s F&amp;A calculation.</w:t>
      </w:r>
    </w:p>
    <w:p w:rsidR="003066E5" w:rsidRPr="008E3AF9" w:rsidRDefault="003066E5" w:rsidP="00BE523B">
      <w:pPr>
        <w:spacing w:after="0" w:line="20" w:lineRule="atLeast"/>
        <w:rPr>
          <w:rFonts w:ascii="Times New Roman" w:hAnsi="Times New Roman"/>
        </w:rPr>
      </w:pPr>
    </w:p>
    <w:p w:rsidR="003066E5" w:rsidRPr="008E3AF9" w:rsidRDefault="003066E5" w:rsidP="00BE523B">
      <w:pPr>
        <w:spacing w:after="0" w:line="20" w:lineRule="atLeast"/>
        <w:rPr>
          <w:rFonts w:ascii="Times New Roman" w:hAnsi="Times New Roman"/>
        </w:rPr>
      </w:pPr>
      <w:r w:rsidRPr="008E3AF9">
        <w:rPr>
          <w:rFonts w:ascii="Times New Roman" w:hAnsi="Times New Roman"/>
        </w:rPr>
        <w:t>All cost sharing must be approved by the Dean and the Vice Provost</w:t>
      </w:r>
    </w:p>
    <w:p w:rsidR="00637560" w:rsidRDefault="00637560" w:rsidP="00BE523B">
      <w:pPr>
        <w:spacing w:after="0" w:line="20" w:lineRule="atLeast"/>
        <w:rPr>
          <w:rFonts w:ascii="Times New Roman" w:hAnsi="Times New Roman"/>
        </w:rPr>
      </w:pPr>
    </w:p>
    <w:p w:rsidR="003066E5" w:rsidRPr="00991A31" w:rsidRDefault="003066E5" w:rsidP="00D35807">
      <w:pPr>
        <w:pStyle w:val="Heading1"/>
        <w:numPr>
          <w:ilvl w:val="0"/>
          <w:numId w:val="47"/>
        </w:numPr>
      </w:pPr>
      <w:bookmarkStart w:id="36" w:name="_Toc405369396"/>
      <w:r w:rsidRPr="00991A31">
        <w:t>Effort Reporting</w:t>
      </w:r>
      <w:bookmarkEnd w:id="36"/>
    </w:p>
    <w:p w:rsidR="003066E5" w:rsidRPr="008E3AF9" w:rsidRDefault="00E0711F" w:rsidP="004F5D55">
      <w:pPr>
        <w:spacing w:after="0" w:line="20" w:lineRule="atLeast"/>
        <w:rPr>
          <w:rFonts w:ascii="Times New Roman" w:hAnsi="Times New Roman"/>
        </w:rPr>
      </w:pPr>
      <w:r>
        <w:rPr>
          <w:rFonts w:ascii="Times New Roman" w:hAnsi="Times New Roman"/>
        </w:rPr>
        <w:t>The F</w:t>
      </w:r>
      <w:r w:rsidR="003066E5" w:rsidRPr="008E3AF9">
        <w:rPr>
          <w:rFonts w:ascii="Times New Roman" w:hAnsi="Times New Roman"/>
        </w:rPr>
        <w:t xml:space="preserve">ederal government requires an effort report when an individual is compensated by or has </w:t>
      </w:r>
      <w:r>
        <w:rPr>
          <w:rFonts w:ascii="Times New Roman" w:hAnsi="Times New Roman"/>
        </w:rPr>
        <w:t>agreed to contribute time to a f</w:t>
      </w:r>
      <w:r w:rsidR="003066E5" w:rsidRPr="008E3AF9">
        <w:rPr>
          <w:rFonts w:ascii="Times New Roman" w:hAnsi="Times New Roman"/>
        </w:rPr>
        <w:t>ederally sponsored project.  All faculty and staff</w:t>
      </w:r>
      <w:r w:rsidR="003066E5">
        <w:rPr>
          <w:rFonts w:ascii="Times New Roman" w:hAnsi="Times New Roman"/>
        </w:rPr>
        <w:t xml:space="preserve"> that are</w:t>
      </w:r>
      <w:r w:rsidR="00D21B62">
        <w:rPr>
          <w:rFonts w:ascii="Times New Roman" w:hAnsi="Times New Roman"/>
        </w:rPr>
        <w:t xml:space="preserve"> paid </w:t>
      </w:r>
      <w:r w:rsidR="003066E5" w:rsidRPr="008E3AF9">
        <w:rPr>
          <w:rFonts w:ascii="Times New Roman" w:hAnsi="Times New Roman"/>
        </w:rPr>
        <w:t>on a sponsored agreement are responsible to certify the amount of effort that they spent on sponsored activities.</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E441ED">
      <w:pPr>
        <w:spacing w:after="0" w:line="20" w:lineRule="atLeast"/>
        <w:rPr>
          <w:rFonts w:ascii="Times New Roman" w:hAnsi="Times New Roman"/>
        </w:rPr>
      </w:pPr>
      <w:r w:rsidRPr="008E3AF9">
        <w:rPr>
          <w:rFonts w:ascii="Times New Roman" w:hAnsi="Times New Roman"/>
        </w:rPr>
        <w:lastRenderedPageBreak/>
        <w:t>Per the USF Policy on</w:t>
      </w:r>
      <w:r w:rsidR="00E0711F">
        <w:rPr>
          <w:rFonts w:ascii="Times New Roman" w:hAnsi="Times New Roman"/>
        </w:rPr>
        <w:t xml:space="preserve"> Time and Effort Reporting for f</w:t>
      </w:r>
      <w:r w:rsidRPr="008E3AF9">
        <w:rPr>
          <w:rFonts w:ascii="Times New Roman" w:hAnsi="Times New Roman"/>
        </w:rPr>
        <w:t>ederally Sponsored Projects (dated 4/2/04), “Time and effort reporting is a Federal requirement (</w:t>
      </w:r>
      <w:r w:rsidR="00527F3E" w:rsidRPr="008E3AF9">
        <w:rPr>
          <w:rFonts w:ascii="Times New Roman" w:hAnsi="Times New Roman"/>
        </w:rPr>
        <w:t xml:space="preserve">OMB </w:t>
      </w:r>
      <w:r w:rsidR="00527F3E">
        <w:rPr>
          <w:rFonts w:ascii="Times New Roman" w:hAnsi="Times New Roman"/>
        </w:rPr>
        <w:t>Uniform Guidance)</w:t>
      </w:r>
      <w:r w:rsidR="00527F3E" w:rsidRPr="008E3AF9">
        <w:rPr>
          <w:rFonts w:ascii="Times New Roman" w:hAnsi="Times New Roman"/>
        </w:rPr>
        <w:t xml:space="preserve"> </w:t>
      </w:r>
      <w:r w:rsidRPr="008E3AF9">
        <w:rPr>
          <w:rFonts w:ascii="Times New Roman" w:hAnsi="Times New Roman"/>
        </w:rPr>
        <w:t>to ensure that individuals confirm “after-the-fact” any effort they have expended on federally funded activities.  The reports are used in the audit process, to ensure compliance with the level of effort agreed to in the award document, and / or to document any cost sharing effort.</w:t>
      </w:r>
    </w:p>
    <w:p w:rsidR="003066E5" w:rsidRPr="008E3AF9" w:rsidRDefault="003066E5" w:rsidP="004F5D55">
      <w:pPr>
        <w:autoSpaceDE w:val="0"/>
        <w:autoSpaceDN w:val="0"/>
        <w:adjustRightInd w:val="0"/>
        <w:spacing w:after="0" w:line="20" w:lineRule="atLeast"/>
        <w:rPr>
          <w:rFonts w:ascii="Times New Roman" w:hAnsi="Times New Roman"/>
        </w:rPr>
      </w:pPr>
    </w:p>
    <w:p w:rsidR="00117AC7" w:rsidRDefault="003066E5" w:rsidP="00216736">
      <w:pPr>
        <w:spacing w:after="0" w:line="20" w:lineRule="atLeast"/>
        <w:rPr>
          <w:rFonts w:ascii="Times New Roman" w:hAnsi="Times New Roman"/>
        </w:rPr>
      </w:pPr>
      <w:r w:rsidRPr="008E3AF9">
        <w:rPr>
          <w:rFonts w:ascii="Times New Roman" w:hAnsi="Times New Roman"/>
        </w:rPr>
        <w:t>All individuals paid from either Federal or Federal Flow-through funds must complete a time and effort report supplied by the OCG each academic term (fall, spring, and summer).  Personnel that h</w:t>
      </w:r>
      <w:r w:rsidR="00E0711F">
        <w:rPr>
          <w:rFonts w:ascii="Times New Roman" w:hAnsi="Times New Roman"/>
        </w:rPr>
        <w:t>ave received compensation from F</w:t>
      </w:r>
      <w:r w:rsidRPr="008E3AF9">
        <w:rPr>
          <w:rFonts w:ascii="Times New Roman" w:hAnsi="Times New Roman"/>
        </w:rPr>
        <w:t>ederal sources must certify that they have expended effort on the federally funded project, at a minimum, in the same percentage amount that they have paid or have agreed to cost share.</w:t>
      </w:r>
    </w:p>
    <w:p w:rsidR="00117AC7" w:rsidRDefault="00117AC7" w:rsidP="00216736">
      <w:pPr>
        <w:spacing w:after="0" w:line="20" w:lineRule="atLeast"/>
        <w:rPr>
          <w:rFonts w:ascii="Times New Roman" w:hAnsi="Times New Roman"/>
        </w:rPr>
      </w:pPr>
    </w:p>
    <w:p w:rsidR="003066E5" w:rsidRDefault="003066E5" w:rsidP="00216736">
      <w:pPr>
        <w:spacing w:after="0" w:line="20" w:lineRule="atLeast"/>
        <w:rPr>
          <w:rFonts w:ascii="Times New Roman" w:hAnsi="Times New Roman"/>
        </w:rPr>
      </w:pPr>
      <w:r w:rsidRPr="008E3AF9">
        <w:rPr>
          <w:rFonts w:ascii="Times New Roman" w:hAnsi="Times New Roman"/>
        </w:rPr>
        <w:t xml:space="preserve">In addition to fulfilling audit </w:t>
      </w:r>
      <w:r w:rsidR="00E0711F">
        <w:rPr>
          <w:rFonts w:ascii="Times New Roman" w:hAnsi="Times New Roman"/>
        </w:rPr>
        <w:t>and compliance requirements of F</w:t>
      </w:r>
      <w:r w:rsidRPr="008E3AF9">
        <w:rPr>
          <w:rFonts w:ascii="Times New Roman" w:hAnsi="Times New Roman"/>
        </w:rPr>
        <w:t>ederal granting agencies, time and effort reporting is provided to the University’s public accounting firm and is subject to OMB Circular A-133.  Eventually time and effort reports will be used to calculate the faculty effort cost sharing included in the F</w:t>
      </w:r>
      <w:r w:rsidR="00D21B62">
        <w:rPr>
          <w:rFonts w:ascii="Times New Roman" w:hAnsi="Times New Roman"/>
        </w:rPr>
        <w:t>&amp;A proposal for the University.</w:t>
      </w:r>
    </w:p>
    <w:p w:rsidR="004D5220" w:rsidRDefault="004D5220" w:rsidP="00216736">
      <w:pPr>
        <w:spacing w:after="0" w:line="20" w:lineRule="atLeast"/>
        <w:rPr>
          <w:rFonts w:ascii="Times New Roman" w:hAnsi="Times New Roman"/>
        </w:rPr>
      </w:pPr>
    </w:p>
    <w:p w:rsidR="004D5220" w:rsidRPr="008E3AF9" w:rsidRDefault="004D5220" w:rsidP="00216736">
      <w:pPr>
        <w:spacing w:after="0" w:line="20" w:lineRule="atLeast"/>
        <w:rPr>
          <w:rFonts w:ascii="Times New Roman" w:hAnsi="Times New Roman"/>
        </w:rPr>
      </w:pPr>
      <w:r w:rsidRPr="00637560">
        <w:rPr>
          <w:rFonts w:ascii="Times New Roman" w:hAnsi="Times New Roman"/>
        </w:rPr>
        <w:t>The issuance of quarterly Time and Effort reports will be done by the Senior Grants Accountant.  All reports must be signed by the PI or Project Director.</w:t>
      </w:r>
      <w:r>
        <w:rPr>
          <w:rFonts w:ascii="Times New Roman" w:hAnsi="Times New Roman"/>
        </w:rPr>
        <w:t xml:space="preserve">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D35807">
      <w:pPr>
        <w:pStyle w:val="Heading1"/>
        <w:numPr>
          <w:ilvl w:val="0"/>
          <w:numId w:val="47"/>
        </w:numPr>
        <w:rPr>
          <w:szCs w:val="22"/>
        </w:rPr>
      </w:pPr>
      <w:bookmarkStart w:id="37" w:name="_Toc405369397"/>
      <w:r w:rsidRPr="008E3AF9">
        <w:rPr>
          <w:szCs w:val="22"/>
        </w:rPr>
        <w:t>Program Income</w:t>
      </w:r>
      <w:bookmarkEnd w:id="37"/>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Program income is defined in OMB Circular A-110 as “gross income earned by the recipient that is directly generated by a sponsored activity or earned as a result of an award.”  Program income can come in many forms including the following examples:</w:t>
      </w:r>
    </w:p>
    <w:p w:rsidR="003066E5" w:rsidRPr="008E3AF9" w:rsidRDefault="003066E5" w:rsidP="00096383">
      <w:pPr>
        <w:autoSpaceDE w:val="0"/>
        <w:autoSpaceDN w:val="0"/>
        <w:adjustRightInd w:val="0"/>
        <w:spacing w:after="0" w:line="20" w:lineRule="atLeast"/>
        <w:rPr>
          <w:rFonts w:ascii="Times New Roman" w:hAnsi="Times New Roman"/>
        </w:rPr>
      </w:pP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Fees for services performed, such as laboratory tests.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Money received from the use, sale, or rental of equipment purchased with project funds.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Sales of supplies or equipment purchased or fabricated with project funds.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Sale of software, tapes, or publications.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Sale of research materials such as animal models or reagents.</w:t>
      </w:r>
    </w:p>
    <w:p w:rsidR="003066E5" w:rsidRPr="008E3AF9" w:rsidRDefault="003066E5" w:rsidP="00096383">
      <w:pPr>
        <w:numPr>
          <w:ilvl w:val="0"/>
          <w:numId w:val="8"/>
        </w:numPr>
        <w:autoSpaceDE w:val="0"/>
        <w:autoSpaceDN w:val="0"/>
        <w:adjustRightInd w:val="0"/>
        <w:spacing w:after="0" w:line="20" w:lineRule="atLeast"/>
        <w:rPr>
          <w:rFonts w:ascii="Times New Roman" w:hAnsi="Times New Roman"/>
        </w:rPr>
      </w:pPr>
      <w:r w:rsidRPr="008E3AF9">
        <w:rPr>
          <w:rFonts w:ascii="Times New Roman" w:hAnsi="Times New Roman"/>
        </w:rPr>
        <w:t>Fees from participants at conferences or symposia.</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The use of program income is generally defined in the grant agreement.  If a research project is being performed, program income is usually additive, meaning that any program income is treated as additional funding available for the conduct of the research project.  Other agreements may indicate that the program income is to be treated as deductive (the amount of program income</w:t>
      </w:r>
      <w:r w:rsidR="00E0711F">
        <w:rPr>
          <w:rFonts w:ascii="Times New Roman" w:hAnsi="Times New Roman"/>
        </w:rPr>
        <w:t xml:space="preserve"> earned is subtracted from the F</w:t>
      </w:r>
      <w:r w:rsidRPr="008E3AF9">
        <w:rPr>
          <w:rFonts w:ascii="Times New Roman" w:hAnsi="Times New Roman"/>
        </w:rPr>
        <w:t xml:space="preserve">ederal obligation leaving the funding the same, but from two sources), or program income can be stipulated as being used to meet any matching or cost sharing requirements of the project.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When program income is either anticipated as part of a project or begins to be earned as part of a project, a separate account should be established to account for the income.  The program income budget period will coincide with the total approved project period of the award.  Program income may only be used for allocable project costs in accordance with the costing regulations established by the sponsor.</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The amount and disposition of the program income will be reported in the final financial report of the grant to the sponsor. Final disposition of unexpended program income will be made upon termination of the related sponsored project.</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D35807">
      <w:pPr>
        <w:pStyle w:val="Heading1"/>
        <w:numPr>
          <w:ilvl w:val="0"/>
          <w:numId w:val="47"/>
        </w:numPr>
        <w:rPr>
          <w:szCs w:val="22"/>
        </w:rPr>
      </w:pPr>
      <w:bookmarkStart w:id="38" w:name="_Toc405369398"/>
      <w:r w:rsidRPr="008E3AF9">
        <w:rPr>
          <w:szCs w:val="22"/>
        </w:rPr>
        <w:lastRenderedPageBreak/>
        <w:t>Equipment</w:t>
      </w:r>
      <w:bookmarkEnd w:id="38"/>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OCG approves the following expenditures of sponsored project funds whether the requisition is issued to an internal storeroom or to an external vendor:</w:t>
      </w:r>
    </w:p>
    <w:p w:rsidR="003066E5" w:rsidRPr="008E3AF9" w:rsidRDefault="003066E5" w:rsidP="00943E4D">
      <w:pPr>
        <w:numPr>
          <w:ilvl w:val="0"/>
          <w:numId w:val="29"/>
        </w:numPr>
        <w:autoSpaceDE w:val="0"/>
        <w:autoSpaceDN w:val="0"/>
        <w:adjustRightInd w:val="0"/>
        <w:spacing w:after="0" w:line="20" w:lineRule="atLeast"/>
        <w:rPr>
          <w:rFonts w:ascii="Times New Roman" w:hAnsi="Times New Roman"/>
          <w:b/>
          <w:bCs/>
        </w:rPr>
      </w:pPr>
      <w:r w:rsidRPr="008E3AF9">
        <w:rPr>
          <w:rFonts w:ascii="Times New Roman" w:hAnsi="Times New Roman"/>
        </w:rPr>
        <w:t xml:space="preserve">Equipment leases, whether defined as equipment lease-purchases (capital leases) or equipment rentals, </w:t>
      </w:r>
      <w:r w:rsidRPr="008E3AF9">
        <w:rPr>
          <w:rFonts w:ascii="Times New Roman" w:hAnsi="Times New Roman"/>
          <w:bCs/>
        </w:rPr>
        <w:t>and</w:t>
      </w:r>
    </w:p>
    <w:p w:rsidR="003066E5" w:rsidRPr="008E3AF9" w:rsidRDefault="003066E5" w:rsidP="00943E4D">
      <w:pPr>
        <w:numPr>
          <w:ilvl w:val="0"/>
          <w:numId w:val="29"/>
        </w:numPr>
        <w:autoSpaceDE w:val="0"/>
        <w:autoSpaceDN w:val="0"/>
        <w:adjustRightInd w:val="0"/>
        <w:spacing w:after="0" w:line="20" w:lineRule="atLeast"/>
        <w:rPr>
          <w:rFonts w:ascii="Times New Roman" w:hAnsi="Times New Roman"/>
        </w:rPr>
      </w:pPr>
      <w:r w:rsidRPr="008E3AF9">
        <w:rPr>
          <w:rFonts w:ascii="Times New Roman" w:hAnsi="Times New Roman"/>
        </w:rPr>
        <w:t xml:space="preserve">Equipment acquisitions of $5,000 or more on all sponsored projects. </w:t>
      </w:r>
    </w:p>
    <w:p w:rsidR="003066E5" w:rsidRPr="008E3AF9" w:rsidRDefault="003066E5" w:rsidP="004F5D55">
      <w:pPr>
        <w:autoSpaceDE w:val="0"/>
        <w:autoSpaceDN w:val="0"/>
        <w:adjustRightInd w:val="0"/>
        <w:spacing w:after="0" w:line="20" w:lineRule="atLeast"/>
        <w:rPr>
          <w:rFonts w:ascii="Times New Roman" w:hAnsi="Times New Roman"/>
        </w:rPr>
      </w:pPr>
    </w:p>
    <w:p w:rsidR="003066E5" w:rsidRPr="008E3AF9" w:rsidRDefault="003066E5" w:rsidP="004F5D55">
      <w:pPr>
        <w:autoSpaceDE w:val="0"/>
        <w:autoSpaceDN w:val="0"/>
        <w:adjustRightInd w:val="0"/>
        <w:spacing w:after="0" w:line="20" w:lineRule="atLeast"/>
        <w:rPr>
          <w:rFonts w:ascii="Times New Roman" w:hAnsi="Times New Roman"/>
        </w:rPr>
      </w:pPr>
      <w:r w:rsidRPr="008E3AF9">
        <w:rPr>
          <w:rFonts w:ascii="Times New Roman" w:hAnsi="Times New Roman"/>
        </w:rPr>
        <w:t>Eq</w:t>
      </w:r>
      <w:r w:rsidR="00E0711F">
        <w:rPr>
          <w:rFonts w:ascii="Times New Roman" w:hAnsi="Times New Roman"/>
        </w:rPr>
        <w:t>uipment that is purchased with Federal and non-F</w:t>
      </w:r>
      <w:r w:rsidRPr="008E3AF9">
        <w:rPr>
          <w:rFonts w:ascii="Times New Roman" w:hAnsi="Times New Roman"/>
        </w:rPr>
        <w:t xml:space="preserve">ederal sponsored funds must be recorded in the University’s fixed assets ledger.  </w:t>
      </w:r>
    </w:p>
    <w:p w:rsidR="00117AC7" w:rsidRDefault="00117AC7" w:rsidP="004F5D55">
      <w:pPr>
        <w:autoSpaceDE w:val="0"/>
        <w:autoSpaceDN w:val="0"/>
        <w:adjustRightInd w:val="0"/>
        <w:spacing w:after="0" w:line="20" w:lineRule="atLeast"/>
        <w:rPr>
          <w:rFonts w:ascii="Times New Roman" w:hAnsi="Times New Roman"/>
          <w:color w:val="000000"/>
        </w:rPr>
      </w:pPr>
    </w:p>
    <w:p w:rsidR="003066E5" w:rsidRPr="008E3AF9" w:rsidRDefault="003066E5" w:rsidP="004F5D55">
      <w:pPr>
        <w:autoSpaceDE w:val="0"/>
        <w:autoSpaceDN w:val="0"/>
        <w:adjustRightInd w:val="0"/>
        <w:spacing w:after="0" w:line="20" w:lineRule="atLeast"/>
        <w:rPr>
          <w:rFonts w:ascii="Times New Roman" w:hAnsi="Times New Roman"/>
          <w:color w:val="000000"/>
        </w:rPr>
      </w:pPr>
      <w:r w:rsidRPr="008E3AF9">
        <w:rPr>
          <w:rFonts w:ascii="Times New Roman" w:hAnsi="Times New Roman"/>
          <w:color w:val="000000"/>
        </w:rPr>
        <w:t xml:space="preserve">Title to equipment purchased with sponsored project funds generally vests in the University.  If the sponsored project agreement terms or sponsor policy indicate that title to equipment may not vest in the University, then the equipment becomes the property of the sponsoring agency.  </w:t>
      </w:r>
    </w:p>
    <w:p w:rsidR="003066E5" w:rsidRPr="008E3AF9" w:rsidRDefault="003066E5" w:rsidP="004F5D55">
      <w:pPr>
        <w:autoSpaceDE w:val="0"/>
        <w:autoSpaceDN w:val="0"/>
        <w:adjustRightInd w:val="0"/>
        <w:spacing w:after="0" w:line="20" w:lineRule="atLeast"/>
        <w:rPr>
          <w:rFonts w:ascii="Times New Roman" w:hAnsi="Times New Roman"/>
          <w:b/>
          <w:bCs/>
          <w:color w:val="003365"/>
        </w:rPr>
      </w:pPr>
    </w:p>
    <w:p w:rsidR="003066E5" w:rsidRPr="008E3AF9" w:rsidRDefault="003066E5" w:rsidP="004F5D55">
      <w:pPr>
        <w:pStyle w:val="ListParagraph"/>
        <w:numPr>
          <w:ilvl w:val="1"/>
          <w:numId w:val="4"/>
        </w:numPr>
        <w:spacing w:after="0" w:line="20" w:lineRule="atLeast"/>
        <w:rPr>
          <w:rFonts w:ascii="Times New Roman" w:hAnsi="Times New Roman"/>
          <w:b/>
        </w:rPr>
      </w:pPr>
      <w:r w:rsidRPr="008E3AF9">
        <w:rPr>
          <w:rFonts w:ascii="Times New Roman" w:hAnsi="Times New Roman"/>
          <w:b/>
        </w:rPr>
        <w:t>Grant Equipment Purchases</w:t>
      </w:r>
    </w:p>
    <w:p w:rsidR="003066E5" w:rsidRPr="008E3AF9" w:rsidRDefault="003066E5" w:rsidP="004F5D55">
      <w:pPr>
        <w:shd w:val="clear" w:color="auto" w:fill="FFFFFF"/>
        <w:spacing w:after="0" w:line="20" w:lineRule="atLeast"/>
        <w:ind w:left="720"/>
        <w:rPr>
          <w:rFonts w:ascii="Times New Roman" w:hAnsi="Times New Roman"/>
        </w:rPr>
      </w:pPr>
      <w:r w:rsidRPr="008E3AF9">
        <w:rPr>
          <w:rFonts w:ascii="Times New Roman" w:hAnsi="Times New Roman"/>
        </w:rPr>
        <w:t>Purchase of general purpose equipment used exclusively or primarily on a sponsored project, special purpose equipment, and supplies is allowable as a direct charge subject to the following conditions:</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University policies related to procurement policies and conflict of interest in purchase related matters must be followed.</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Sponsors terms and conditions related to equipment purchases must be followed.</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Equipment acquisitions of $5,000 or more per unit mus</w:t>
      </w:r>
      <w:r w:rsidR="00E0711F">
        <w:rPr>
          <w:rFonts w:ascii="Times New Roman" w:hAnsi="Times New Roman"/>
        </w:rPr>
        <w:t>t have prior approval from the F</w:t>
      </w:r>
      <w:r w:rsidRPr="008E3AF9">
        <w:rPr>
          <w:rFonts w:ascii="Times New Roman" w:hAnsi="Times New Roman"/>
        </w:rPr>
        <w:t xml:space="preserve">ederal sponsor.  Such approvals may be provided in the grant or contract award document, approved budget, or in correspondence from the grants/contracting officer. </w:t>
      </w:r>
    </w:p>
    <w:p w:rsidR="003066E5" w:rsidRDefault="003066E5" w:rsidP="007B49E4">
      <w:pPr>
        <w:numPr>
          <w:ilvl w:val="0"/>
          <w:numId w:val="11"/>
        </w:numPr>
        <w:shd w:val="clear" w:color="auto" w:fill="FFFFFF"/>
        <w:tabs>
          <w:tab w:val="clear" w:pos="720"/>
          <w:tab w:val="num" w:pos="1440"/>
        </w:tabs>
        <w:spacing w:after="0" w:line="20" w:lineRule="atLeast"/>
        <w:ind w:left="1440"/>
        <w:rPr>
          <w:rFonts w:ascii="Times New Roman" w:hAnsi="Times New Roman"/>
        </w:rPr>
      </w:pPr>
      <w:r w:rsidRPr="008E3AF9">
        <w:rPr>
          <w:rFonts w:ascii="Times New Roman" w:hAnsi="Times New Roman"/>
        </w:rPr>
        <w:t>Purchases of $25,000 or more require competitive bids (e.g. RFP’s), in compliance with University Procurement Policies, and approval from the sponsor and the OCG.</w:t>
      </w:r>
    </w:p>
    <w:p w:rsidR="003066E5" w:rsidRPr="008E3AF9" w:rsidRDefault="003066E5" w:rsidP="004F5D55">
      <w:pPr>
        <w:shd w:val="clear" w:color="auto" w:fill="FFFFFF"/>
        <w:spacing w:after="0" w:line="20" w:lineRule="atLeast"/>
        <w:ind w:left="1440"/>
        <w:rPr>
          <w:rFonts w:ascii="Times New Roman" w:hAnsi="Times New Roman"/>
        </w:rPr>
      </w:pPr>
    </w:p>
    <w:p w:rsidR="003066E5" w:rsidRPr="008E3AF9" w:rsidRDefault="003066E5" w:rsidP="004F5D55">
      <w:pPr>
        <w:pStyle w:val="ListParagraph"/>
        <w:numPr>
          <w:ilvl w:val="1"/>
          <w:numId w:val="4"/>
        </w:numPr>
        <w:spacing w:after="0" w:line="20" w:lineRule="atLeast"/>
        <w:rPr>
          <w:rFonts w:ascii="Times New Roman" w:hAnsi="Times New Roman"/>
          <w:b/>
        </w:rPr>
      </w:pPr>
      <w:r w:rsidRPr="008E3AF9">
        <w:rPr>
          <w:rFonts w:ascii="Times New Roman" w:hAnsi="Times New Roman"/>
          <w:b/>
        </w:rPr>
        <w:t xml:space="preserve">Inventory Procedures for Equipment </w:t>
      </w:r>
    </w:p>
    <w:p w:rsidR="003066E5" w:rsidRPr="008E3AF9" w:rsidRDefault="003066E5" w:rsidP="004F5D55">
      <w:pPr>
        <w:autoSpaceDE w:val="0"/>
        <w:autoSpaceDN w:val="0"/>
        <w:adjustRightInd w:val="0"/>
        <w:spacing w:after="0" w:line="20" w:lineRule="atLeast"/>
        <w:ind w:left="720"/>
        <w:rPr>
          <w:rFonts w:ascii="Times New Roman" w:hAnsi="Times New Roman"/>
        </w:rPr>
      </w:pPr>
      <w:r w:rsidRPr="008E3AF9">
        <w:rPr>
          <w:rFonts w:ascii="Times New Roman" w:hAnsi="Times New Roman"/>
        </w:rPr>
        <w:t xml:space="preserve">The University’s Property Management assigns a control number and tags all equipment (moveable assets over $5,000), regardless of whether ownership belongs to the University or the sponsor.  Property records are maintained for all tagged items. </w:t>
      </w:r>
    </w:p>
    <w:p w:rsidR="003066E5" w:rsidRPr="008E3AF9" w:rsidRDefault="003066E5" w:rsidP="004F5D55">
      <w:pPr>
        <w:autoSpaceDE w:val="0"/>
        <w:autoSpaceDN w:val="0"/>
        <w:adjustRightInd w:val="0"/>
        <w:spacing w:after="0" w:line="20" w:lineRule="atLeast"/>
        <w:ind w:left="720"/>
        <w:rPr>
          <w:rFonts w:ascii="Times New Roman" w:hAnsi="Times New Roman"/>
        </w:rPr>
      </w:pPr>
    </w:p>
    <w:p w:rsidR="003066E5" w:rsidRPr="008E3AF9" w:rsidRDefault="003066E5" w:rsidP="004F5D55">
      <w:pPr>
        <w:autoSpaceDE w:val="0"/>
        <w:autoSpaceDN w:val="0"/>
        <w:adjustRightInd w:val="0"/>
        <w:spacing w:after="0" w:line="20" w:lineRule="atLeast"/>
        <w:ind w:left="720"/>
        <w:rPr>
          <w:rFonts w:ascii="Times New Roman" w:hAnsi="Times New Roman"/>
        </w:rPr>
      </w:pPr>
      <w:r w:rsidRPr="008E3AF9">
        <w:rPr>
          <w:rFonts w:ascii="Times New Roman" w:hAnsi="Times New Roman"/>
        </w:rPr>
        <w:t xml:space="preserve">Property Management administration should be notified promptly when property is purchased, altered or modified in any way, incorporated into another piece of equipment, or lost or stolen, so that records are kept up to date.  </w:t>
      </w:r>
    </w:p>
    <w:p w:rsidR="003066E5" w:rsidRPr="008E3AF9" w:rsidRDefault="003066E5" w:rsidP="004F5D55">
      <w:pPr>
        <w:autoSpaceDE w:val="0"/>
        <w:autoSpaceDN w:val="0"/>
        <w:adjustRightInd w:val="0"/>
        <w:spacing w:after="0" w:line="20" w:lineRule="atLeast"/>
        <w:ind w:left="720"/>
        <w:rPr>
          <w:rFonts w:ascii="Times New Roman" w:hAnsi="Times New Roman"/>
        </w:rPr>
      </w:pPr>
    </w:p>
    <w:p w:rsidR="003066E5" w:rsidRPr="008E3AF9" w:rsidRDefault="003066E5" w:rsidP="004F5D55">
      <w:pPr>
        <w:autoSpaceDE w:val="0"/>
        <w:autoSpaceDN w:val="0"/>
        <w:adjustRightInd w:val="0"/>
        <w:spacing w:after="0" w:line="20" w:lineRule="atLeast"/>
        <w:ind w:left="720"/>
        <w:rPr>
          <w:rFonts w:ascii="Times New Roman" w:hAnsi="Times New Roman"/>
        </w:rPr>
      </w:pPr>
      <w:r w:rsidRPr="008E3AF9">
        <w:rPr>
          <w:rFonts w:ascii="Times New Roman" w:hAnsi="Times New Roman"/>
        </w:rPr>
        <w:t xml:space="preserve">Property Management administration is responsible for tagging and maintaining the inventory for all equipment purchased or acquired for use under sponsored projects.  Disposition of all University owned equipment is handled through Property Management.  In some cases, title to equipment purchased or acquired for sponsored activities will be vested in the government.  The University’s Property Management maintains the inventory for such equipment and each item is tagged as Government Property.  Disposition of government-owned items is the responsibility of Property Management and OCG, and will be accomplished at project closeout. </w:t>
      </w:r>
    </w:p>
    <w:p w:rsidR="003066E5" w:rsidRPr="008E3AF9" w:rsidRDefault="003066E5" w:rsidP="004F5D55">
      <w:pPr>
        <w:pStyle w:val="ListParagraph"/>
        <w:spacing w:after="0" w:line="20" w:lineRule="atLeast"/>
        <w:ind w:left="0"/>
        <w:rPr>
          <w:rFonts w:ascii="Times New Roman" w:hAnsi="Times New Roman"/>
        </w:rPr>
      </w:pPr>
    </w:p>
    <w:p w:rsidR="003066E5" w:rsidRPr="008E3AF9" w:rsidRDefault="003066E5" w:rsidP="008133F0">
      <w:pPr>
        <w:pStyle w:val="Heading1"/>
        <w:numPr>
          <w:ilvl w:val="0"/>
          <w:numId w:val="47"/>
        </w:numPr>
        <w:rPr>
          <w:szCs w:val="22"/>
        </w:rPr>
      </w:pPr>
      <w:bookmarkStart w:id="39" w:name="_Toc405369399"/>
      <w:r w:rsidRPr="008E3AF9">
        <w:rPr>
          <w:szCs w:val="22"/>
        </w:rPr>
        <w:t>Payment and Cash Management</w:t>
      </w:r>
      <w:bookmarkEnd w:id="39"/>
    </w:p>
    <w:p w:rsidR="003066E5" w:rsidRPr="008E3AF9" w:rsidRDefault="003066E5" w:rsidP="004F5D55">
      <w:pPr>
        <w:spacing w:after="0" w:line="20" w:lineRule="atLeast"/>
        <w:rPr>
          <w:rFonts w:ascii="Times New Roman" w:hAnsi="Times New Roman"/>
        </w:rPr>
      </w:pPr>
      <w:r w:rsidRPr="008E3AF9">
        <w:rPr>
          <w:rFonts w:ascii="Times New Roman" w:hAnsi="Times New Roman"/>
        </w:rPr>
        <w:t>The OCG is responsible for ensuring that all sponsor payments are received on time.  The PI is responsible for completing all project requirements of the agreement so the sponsor will make the scheduled payments according to the award terms.</w:t>
      </w:r>
    </w:p>
    <w:p w:rsidR="003066E5" w:rsidRPr="008E3AF9" w:rsidRDefault="003066E5" w:rsidP="004F5D55">
      <w:pPr>
        <w:spacing w:after="0" w:line="20" w:lineRule="atLeast"/>
        <w:rPr>
          <w:rFonts w:ascii="Times New Roman" w:hAnsi="Times New Roman"/>
        </w:rPr>
      </w:pPr>
    </w:p>
    <w:p w:rsidR="003066E5" w:rsidRPr="008E3AF9" w:rsidRDefault="003066E5" w:rsidP="004F5D55">
      <w:pPr>
        <w:spacing w:after="0" w:line="20" w:lineRule="atLeast"/>
        <w:rPr>
          <w:rFonts w:ascii="Times New Roman" w:hAnsi="Times New Roman"/>
        </w:rPr>
      </w:pPr>
      <w:r w:rsidRPr="008E3AF9">
        <w:rPr>
          <w:rFonts w:ascii="Times New Roman" w:hAnsi="Times New Roman"/>
          <w:color w:val="000000"/>
        </w:rPr>
        <w:lastRenderedPageBreak/>
        <w:t xml:space="preserve">Most awards are made on a "cost-reimbursable" basis and the University is reimbursed for actual expenses incurred, usually on a </w:t>
      </w:r>
      <w:r w:rsidRPr="00637560">
        <w:rPr>
          <w:rFonts w:ascii="Times New Roman" w:hAnsi="Times New Roman"/>
          <w:color w:val="000000"/>
        </w:rPr>
        <w:t xml:space="preserve">monthly </w:t>
      </w:r>
      <w:r w:rsidR="00503D42" w:rsidRPr="00637560">
        <w:rPr>
          <w:rFonts w:ascii="Times New Roman" w:hAnsi="Times New Roman"/>
          <w:color w:val="000000"/>
        </w:rPr>
        <w:t xml:space="preserve">or quarterly </w:t>
      </w:r>
      <w:r w:rsidRPr="00637560">
        <w:rPr>
          <w:rFonts w:ascii="Times New Roman" w:hAnsi="Times New Roman"/>
          <w:color w:val="000000"/>
        </w:rPr>
        <w:t>basis</w:t>
      </w:r>
      <w:r w:rsidRPr="008E3AF9">
        <w:rPr>
          <w:rFonts w:ascii="Times New Roman" w:hAnsi="Times New Roman"/>
          <w:color w:val="000000"/>
        </w:rPr>
        <w:t xml:space="preserve">, by billing the sponsor or by </w:t>
      </w:r>
      <w:r w:rsidRPr="008E3AF9">
        <w:rPr>
          <w:rFonts w:ascii="Times New Roman" w:hAnsi="Times New Roman"/>
        </w:rPr>
        <w:t xml:space="preserve">drawing against a sponsor's letter of credit account.  Some awards, usually from private sponsors, are funded by a fixed payment schedule, which typically includes some advance payment. </w:t>
      </w:r>
    </w:p>
    <w:p w:rsidR="003066E5" w:rsidRPr="008E3AF9" w:rsidRDefault="003066E5" w:rsidP="004F5D55">
      <w:pPr>
        <w:spacing w:after="0" w:line="20" w:lineRule="atLeast"/>
        <w:rPr>
          <w:rFonts w:ascii="Times New Roman" w:hAnsi="Times New Roman"/>
        </w:rPr>
      </w:pPr>
    </w:p>
    <w:p w:rsidR="003066E5" w:rsidRPr="008E3AF9" w:rsidRDefault="003066E5" w:rsidP="0083009F">
      <w:pPr>
        <w:spacing w:after="0" w:line="20" w:lineRule="atLeast"/>
        <w:rPr>
          <w:rFonts w:ascii="Times New Roman" w:hAnsi="Times New Roman"/>
        </w:rPr>
      </w:pPr>
      <w:r w:rsidRPr="008E3AF9">
        <w:rPr>
          <w:rFonts w:ascii="Times New Roman" w:hAnsi="Times New Roman"/>
        </w:rPr>
        <w:t xml:space="preserve">If the PI receives a sponsor check, it should be forwarded to the OCG for deposit and accurate accounting in the grant account.  </w:t>
      </w:r>
    </w:p>
    <w:p w:rsidR="003066E5" w:rsidRPr="008E3AF9" w:rsidRDefault="003066E5" w:rsidP="0083009F">
      <w:pPr>
        <w:spacing w:after="0" w:line="20" w:lineRule="atLeast"/>
        <w:rPr>
          <w:rFonts w:ascii="Times New Roman" w:hAnsi="Times New Roman"/>
        </w:rPr>
      </w:pPr>
    </w:p>
    <w:p w:rsidR="003066E5" w:rsidRPr="008E3AF9" w:rsidRDefault="003066E5" w:rsidP="0083009F">
      <w:pPr>
        <w:spacing w:after="0" w:line="20" w:lineRule="atLeast"/>
        <w:rPr>
          <w:rFonts w:ascii="Times New Roman" w:hAnsi="Times New Roman"/>
        </w:rPr>
      </w:pPr>
      <w:r w:rsidRPr="008E3AF9">
        <w:rPr>
          <w:rFonts w:ascii="Times New Roman" w:hAnsi="Times New Roman"/>
        </w:rPr>
        <w:t>Invoicing or ca</w:t>
      </w:r>
      <w:r w:rsidR="00503D42">
        <w:rPr>
          <w:rFonts w:ascii="Times New Roman" w:hAnsi="Times New Roman"/>
        </w:rPr>
        <w:t xml:space="preserve">sh draws </w:t>
      </w:r>
      <w:r w:rsidR="00503D42" w:rsidRPr="00637560">
        <w:rPr>
          <w:rFonts w:ascii="Times New Roman" w:hAnsi="Times New Roman"/>
        </w:rPr>
        <w:t xml:space="preserve">from </w:t>
      </w:r>
      <w:r w:rsidR="008B24B6" w:rsidRPr="00637560">
        <w:rPr>
          <w:rFonts w:ascii="Times New Roman" w:hAnsi="Times New Roman"/>
        </w:rPr>
        <w:t>F</w:t>
      </w:r>
      <w:r w:rsidR="00503D42" w:rsidRPr="00637560">
        <w:rPr>
          <w:rFonts w:ascii="Times New Roman" w:hAnsi="Times New Roman"/>
        </w:rPr>
        <w:t>ederal</w:t>
      </w:r>
      <w:r w:rsidRPr="00637560">
        <w:rPr>
          <w:rFonts w:ascii="Times New Roman" w:hAnsi="Times New Roman"/>
        </w:rPr>
        <w:t xml:space="preserve"> sponsor</w:t>
      </w:r>
      <w:r w:rsidR="00BE1291">
        <w:rPr>
          <w:rFonts w:ascii="Times New Roman" w:hAnsi="Times New Roman"/>
        </w:rPr>
        <w:t xml:space="preserve"> project</w:t>
      </w:r>
      <w:r w:rsidRPr="008E3AF9">
        <w:rPr>
          <w:rFonts w:ascii="Times New Roman" w:hAnsi="Times New Roman"/>
        </w:rPr>
        <w:t xml:space="preserve">s should be performed on a </w:t>
      </w:r>
      <w:r>
        <w:rPr>
          <w:rFonts w:ascii="Times New Roman" w:hAnsi="Times New Roman"/>
        </w:rPr>
        <w:t xml:space="preserve">quarterly </w:t>
      </w:r>
      <w:r w:rsidRPr="008E3AF9">
        <w:rPr>
          <w:rFonts w:ascii="Times New Roman" w:hAnsi="Times New Roman"/>
        </w:rPr>
        <w:t>basis unless otherwise noted in the terms and conditions of the sponsored agreement.  The Accounting Manager for Accounts Receivable will perform electronic funding draw-downs from sponsoring agencies.</w:t>
      </w:r>
    </w:p>
    <w:p w:rsidR="003066E5" w:rsidRPr="008E3AF9" w:rsidRDefault="003066E5" w:rsidP="0083009F">
      <w:pPr>
        <w:spacing w:after="0" w:line="20" w:lineRule="atLeast"/>
        <w:rPr>
          <w:rFonts w:ascii="Times New Roman" w:hAnsi="Times New Roman"/>
        </w:rPr>
      </w:pPr>
    </w:p>
    <w:p w:rsidR="003066E5" w:rsidRPr="008E3AF9" w:rsidRDefault="003066E5" w:rsidP="0083009F">
      <w:pPr>
        <w:spacing w:after="0" w:line="20" w:lineRule="atLeast"/>
        <w:rPr>
          <w:i/>
        </w:rPr>
      </w:pPr>
      <w:r w:rsidRPr="008E3AF9">
        <w:rPr>
          <w:rFonts w:ascii="Times New Roman" w:hAnsi="Times New Roman"/>
          <w:i/>
        </w:rPr>
        <w:t xml:space="preserve">See the Contract (and </w:t>
      </w:r>
      <w:proofErr w:type="spellStart"/>
      <w:r w:rsidRPr="008E3AF9">
        <w:rPr>
          <w:rFonts w:ascii="Times New Roman" w:hAnsi="Times New Roman"/>
          <w:i/>
        </w:rPr>
        <w:t>Subaward</w:t>
      </w:r>
      <w:proofErr w:type="spellEnd"/>
      <w:r w:rsidRPr="008E3AF9">
        <w:rPr>
          <w:rFonts w:ascii="Times New Roman" w:hAnsi="Times New Roman"/>
          <w:i/>
        </w:rPr>
        <w:t>) Invoicing</w:t>
      </w:r>
      <w:r w:rsidR="00DB3A26">
        <w:rPr>
          <w:rFonts w:ascii="Times New Roman" w:hAnsi="Times New Roman"/>
          <w:i/>
        </w:rPr>
        <w:t>,</w:t>
      </w:r>
      <w:r w:rsidRPr="008E3AF9">
        <w:rPr>
          <w:rFonts w:ascii="Times New Roman" w:hAnsi="Times New Roman"/>
          <w:i/>
        </w:rPr>
        <w:t xml:space="preserve"> section</w:t>
      </w:r>
      <w:r w:rsidR="00117AC7">
        <w:rPr>
          <w:rFonts w:ascii="Times New Roman" w:hAnsi="Times New Roman"/>
          <w:i/>
        </w:rPr>
        <w:t xml:space="preserve"> XVII</w:t>
      </w:r>
      <w:r w:rsidRPr="008E3AF9">
        <w:rPr>
          <w:rFonts w:ascii="Times New Roman" w:hAnsi="Times New Roman"/>
          <w:i/>
        </w:rPr>
        <w:t xml:space="preserve"> for additional details on invoicing.</w:t>
      </w:r>
    </w:p>
    <w:p w:rsidR="003066E5" w:rsidRPr="008E3AF9" w:rsidRDefault="003066E5" w:rsidP="004F5D55">
      <w:pPr>
        <w:pStyle w:val="Default"/>
        <w:spacing w:line="20" w:lineRule="atLeast"/>
        <w:rPr>
          <w:sz w:val="22"/>
          <w:szCs w:val="22"/>
        </w:rPr>
      </w:pPr>
    </w:p>
    <w:p w:rsidR="003066E5" w:rsidRPr="008E3AF9" w:rsidRDefault="003066E5" w:rsidP="008133F0">
      <w:pPr>
        <w:pStyle w:val="Heading1"/>
        <w:numPr>
          <w:ilvl w:val="0"/>
          <w:numId w:val="47"/>
        </w:numPr>
        <w:rPr>
          <w:szCs w:val="22"/>
        </w:rPr>
      </w:pPr>
      <w:bookmarkStart w:id="40" w:name="_Toc405369400"/>
      <w:r w:rsidRPr="008E3AF9">
        <w:rPr>
          <w:szCs w:val="22"/>
        </w:rPr>
        <w:t>Monthly Reconciliations (Expenditure Statements and Budget Monitoring)</w:t>
      </w:r>
      <w:bookmarkEnd w:id="40"/>
    </w:p>
    <w:p w:rsidR="003066E5" w:rsidRPr="00637560" w:rsidRDefault="003066E5" w:rsidP="004F5D55">
      <w:pPr>
        <w:pStyle w:val="Subtitle"/>
        <w:spacing w:line="20" w:lineRule="atLeast"/>
        <w:rPr>
          <w:rFonts w:ascii="Times New Roman" w:hAnsi="Times New Roman" w:cs="Times New Roman"/>
          <w:sz w:val="22"/>
          <w:szCs w:val="22"/>
          <w:u w:val="none"/>
        </w:rPr>
      </w:pPr>
      <w:r w:rsidRPr="008E3AF9">
        <w:rPr>
          <w:rFonts w:ascii="Times New Roman" w:hAnsi="Times New Roman" w:cs="Times New Roman"/>
          <w:sz w:val="22"/>
          <w:szCs w:val="22"/>
          <w:u w:val="none"/>
        </w:rPr>
        <w:t xml:space="preserve">A monthly accounting and reconciliation report will be generated by </w:t>
      </w:r>
      <w:r w:rsidR="00503D42">
        <w:rPr>
          <w:rFonts w:ascii="Times New Roman" w:hAnsi="Times New Roman" w:cs="Times New Roman"/>
          <w:sz w:val="22"/>
          <w:szCs w:val="22"/>
          <w:u w:val="none"/>
        </w:rPr>
        <w:t xml:space="preserve">the OCG for </w:t>
      </w:r>
      <w:r w:rsidR="00503D42" w:rsidRPr="00637560">
        <w:rPr>
          <w:rFonts w:ascii="Times New Roman" w:hAnsi="Times New Roman" w:cs="Times New Roman"/>
          <w:sz w:val="22"/>
          <w:szCs w:val="22"/>
          <w:u w:val="none"/>
        </w:rPr>
        <w:t xml:space="preserve">PIs and, in some cases, </w:t>
      </w:r>
      <w:r w:rsidRPr="00637560">
        <w:rPr>
          <w:rFonts w:ascii="Times New Roman" w:hAnsi="Times New Roman" w:cs="Times New Roman"/>
          <w:sz w:val="22"/>
          <w:szCs w:val="22"/>
          <w:u w:val="none"/>
        </w:rPr>
        <w:t xml:space="preserve">business managers to review. The online Self-Service Banner system will also allow both the PI and a business manager to review monthly or inception to date grant expenditures.    It is the responsibility of the PI to review these for accuracy and report necessary corrections, including </w:t>
      </w:r>
      <w:r w:rsidR="00503D42" w:rsidRPr="00637560">
        <w:rPr>
          <w:rFonts w:ascii="Times New Roman" w:hAnsi="Times New Roman" w:cs="Times New Roman"/>
          <w:sz w:val="22"/>
          <w:szCs w:val="22"/>
          <w:u w:val="none"/>
        </w:rPr>
        <w:t xml:space="preserve">notice of </w:t>
      </w:r>
      <w:r w:rsidRPr="00637560">
        <w:rPr>
          <w:rFonts w:ascii="Times New Roman" w:hAnsi="Times New Roman" w:cs="Times New Roman"/>
          <w:sz w:val="22"/>
          <w:szCs w:val="22"/>
          <w:u w:val="none"/>
        </w:rPr>
        <w:t>a no-cost extension if the funds will not be fully expended by the grant close date.  The OCG accountant should be contacted regarding any discrepancies or questions on the report.</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1" w:name="_Toc405369401"/>
      <w:r w:rsidRPr="00637560">
        <w:rPr>
          <w:szCs w:val="22"/>
        </w:rPr>
        <w:t xml:space="preserve">Contract (and </w:t>
      </w:r>
      <w:proofErr w:type="spellStart"/>
      <w:r w:rsidRPr="00637560">
        <w:rPr>
          <w:szCs w:val="22"/>
        </w:rPr>
        <w:t>Subaward</w:t>
      </w:r>
      <w:proofErr w:type="spellEnd"/>
      <w:r w:rsidRPr="00637560">
        <w:rPr>
          <w:szCs w:val="22"/>
        </w:rPr>
        <w:t>) Invoicing</w:t>
      </w:r>
      <w:bookmarkEnd w:id="41"/>
    </w:p>
    <w:p w:rsidR="003066E5" w:rsidRPr="00637560" w:rsidRDefault="003066E5" w:rsidP="004F5D55">
      <w:pPr>
        <w:pStyle w:val="NormalWeb"/>
        <w:spacing w:before="0" w:beforeAutospacing="0" w:after="0" w:afterAutospacing="0" w:line="20" w:lineRule="atLeast"/>
        <w:rPr>
          <w:b/>
          <w:i/>
          <w:sz w:val="22"/>
          <w:szCs w:val="22"/>
        </w:rPr>
      </w:pPr>
      <w:r w:rsidRPr="00637560">
        <w:rPr>
          <w:b/>
          <w:i/>
          <w:sz w:val="22"/>
          <w:szCs w:val="22"/>
        </w:rPr>
        <w:t>Contract Invoicing</w:t>
      </w:r>
    </w:p>
    <w:p w:rsidR="003066E5" w:rsidRPr="00637560" w:rsidRDefault="003066E5" w:rsidP="004F5D55">
      <w:pPr>
        <w:spacing w:after="0" w:line="20" w:lineRule="atLeast"/>
        <w:rPr>
          <w:rFonts w:ascii="Times New Roman" w:hAnsi="Times New Roman"/>
        </w:rPr>
      </w:pPr>
      <w:r w:rsidRPr="00637560">
        <w:rPr>
          <w:rFonts w:ascii="Times New Roman" w:hAnsi="Times New Roman"/>
        </w:rPr>
        <w:t xml:space="preserve">Invoices are prepared by the OCG, from financial data that is supported in Banner.  Department assistance may be required in cases where the sponsor requires documentation that is extensive or unavailable to the OCG.  The invoice is prepared according to grantor instructions.  This includes the timing of the invoice and any required supporting documentation.  Billings are usually required on a monthly or quarterly basis for cost reimbursement projects, unless the terms of the award provide otherwise.  Other projects may require billings based on a fixed schedule or technical progress.  It is important that units provide the OCG </w:t>
      </w:r>
      <w:r w:rsidR="00503D42" w:rsidRPr="00637560">
        <w:rPr>
          <w:rFonts w:ascii="Times New Roman" w:hAnsi="Times New Roman"/>
        </w:rPr>
        <w:t xml:space="preserve">with </w:t>
      </w:r>
      <w:r w:rsidRPr="00637560">
        <w:rPr>
          <w:rFonts w:ascii="Times New Roman" w:hAnsi="Times New Roman"/>
        </w:rPr>
        <w:t xml:space="preserve">any "milestone" or progress information necessary to trigger a bill or financial report, to avoid any possible delays in preparing sponsor billings. </w:t>
      </w:r>
    </w:p>
    <w:p w:rsidR="003066E5" w:rsidRPr="00637560" w:rsidRDefault="003066E5" w:rsidP="004F5D55">
      <w:pPr>
        <w:spacing w:after="0" w:line="20" w:lineRule="atLeast"/>
        <w:rPr>
          <w:rFonts w:ascii="Times New Roman" w:hAnsi="Times New Roman"/>
        </w:rPr>
      </w:pPr>
    </w:p>
    <w:p w:rsidR="003066E5" w:rsidRPr="00637560" w:rsidRDefault="003066E5" w:rsidP="004F5D55">
      <w:pPr>
        <w:spacing w:after="0" w:line="20" w:lineRule="atLeast"/>
        <w:rPr>
          <w:rFonts w:ascii="Times New Roman" w:hAnsi="Times New Roman"/>
        </w:rPr>
      </w:pPr>
      <w:r w:rsidRPr="00637560">
        <w:rPr>
          <w:rFonts w:ascii="Times New Roman" w:hAnsi="Times New Roman"/>
        </w:rPr>
        <w:t>If a sponsor requires supporting documentation such as receipts or special reports, the grants accountant should be responsible for pulling the invoices, since the PI and the business manager do not have access to retrieve all invoice copies. The PI / college</w:t>
      </w:r>
      <w:r w:rsidR="00503D42" w:rsidRPr="00637560">
        <w:rPr>
          <w:rFonts w:ascii="Times New Roman" w:hAnsi="Times New Roman"/>
        </w:rPr>
        <w:t xml:space="preserve"> </w:t>
      </w:r>
      <w:r w:rsidRPr="00637560">
        <w:rPr>
          <w:rFonts w:ascii="Times New Roman" w:hAnsi="Times New Roman"/>
        </w:rPr>
        <w:t>/</w:t>
      </w:r>
      <w:r w:rsidR="00503D42" w:rsidRPr="00637560">
        <w:rPr>
          <w:rFonts w:ascii="Times New Roman" w:hAnsi="Times New Roman"/>
        </w:rPr>
        <w:t xml:space="preserve"> </w:t>
      </w:r>
      <w:r w:rsidRPr="00637560">
        <w:rPr>
          <w:rFonts w:ascii="Times New Roman" w:hAnsi="Times New Roman"/>
        </w:rPr>
        <w:t>school may be asked to provide necessary information to the OCG to be included with the invoice. The sponsor may also require financial status reports at the end of a specified reporting period, usually annually, and</w:t>
      </w:r>
      <w:r w:rsidR="00503D42" w:rsidRPr="00637560">
        <w:rPr>
          <w:rFonts w:ascii="Times New Roman" w:hAnsi="Times New Roman"/>
        </w:rPr>
        <w:t xml:space="preserve"> </w:t>
      </w:r>
      <w:r w:rsidRPr="00637560">
        <w:rPr>
          <w:rFonts w:ascii="Times New Roman" w:hAnsi="Times New Roman"/>
        </w:rPr>
        <w:t>/</w:t>
      </w:r>
      <w:r w:rsidR="00503D42" w:rsidRPr="00637560">
        <w:rPr>
          <w:rFonts w:ascii="Times New Roman" w:hAnsi="Times New Roman"/>
        </w:rPr>
        <w:t xml:space="preserve"> </w:t>
      </w:r>
      <w:r w:rsidRPr="00637560">
        <w:rPr>
          <w:rFonts w:ascii="Times New Roman" w:hAnsi="Times New Roman"/>
        </w:rPr>
        <w:t>or at project closeout. These reports are due no later than 60 days after the end of the reporting period unless otherwise stated in the specific award document.  The OCG will request department verification that the reports were submitted prior to sending the invoice to the sponsor.</w:t>
      </w:r>
    </w:p>
    <w:p w:rsidR="003066E5" w:rsidRPr="00637560" w:rsidRDefault="003066E5" w:rsidP="004F5D55">
      <w:pPr>
        <w:autoSpaceDE w:val="0"/>
        <w:autoSpaceDN w:val="0"/>
        <w:adjustRightInd w:val="0"/>
        <w:spacing w:after="0" w:line="20" w:lineRule="atLeast"/>
        <w:rPr>
          <w:rFonts w:ascii="Times New Roman" w:hAnsi="Times New Roman"/>
        </w:rPr>
      </w:pPr>
    </w:p>
    <w:p w:rsidR="003066E5" w:rsidRPr="00637560" w:rsidRDefault="003066E5" w:rsidP="004F5D55">
      <w:pPr>
        <w:autoSpaceDE w:val="0"/>
        <w:autoSpaceDN w:val="0"/>
        <w:adjustRightInd w:val="0"/>
        <w:spacing w:after="0" w:line="20" w:lineRule="atLeast"/>
        <w:rPr>
          <w:rFonts w:ascii="Times New Roman" w:hAnsi="Times New Roman"/>
          <w:b/>
          <w:i/>
        </w:rPr>
      </w:pPr>
      <w:r w:rsidRPr="00637560">
        <w:rPr>
          <w:rFonts w:ascii="Times New Roman" w:hAnsi="Times New Roman"/>
          <w:b/>
          <w:i/>
        </w:rPr>
        <w:t>Subcontractor Invoicing</w:t>
      </w:r>
    </w:p>
    <w:p w:rsidR="003066E5" w:rsidRPr="00637560" w:rsidRDefault="003066E5" w:rsidP="004F5D55">
      <w:pPr>
        <w:autoSpaceDE w:val="0"/>
        <w:autoSpaceDN w:val="0"/>
        <w:adjustRightInd w:val="0"/>
        <w:spacing w:after="0" w:line="20" w:lineRule="atLeast"/>
        <w:rPr>
          <w:rFonts w:ascii="Times New Roman" w:hAnsi="Times New Roman"/>
        </w:rPr>
      </w:pPr>
      <w:r w:rsidRPr="00637560">
        <w:rPr>
          <w:rFonts w:ascii="Times New Roman" w:hAnsi="Times New Roman"/>
        </w:rPr>
        <w:t xml:space="preserve">The invoicing requirements for </w:t>
      </w:r>
      <w:proofErr w:type="spellStart"/>
      <w:r w:rsidRPr="00637560">
        <w:rPr>
          <w:rFonts w:ascii="Times New Roman" w:hAnsi="Times New Roman"/>
        </w:rPr>
        <w:t>subawardees</w:t>
      </w:r>
      <w:proofErr w:type="spellEnd"/>
      <w:r w:rsidRPr="00637560">
        <w:rPr>
          <w:rFonts w:ascii="Times New Roman" w:hAnsi="Times New Roman"/>
        </w:rPr>
        <w:t xml:space="preserve"> should be clearly outlined in the </w:t>
      </w:r>
      <w:proofErr w:type="spellStart"/>
      <w:r w:rsidRPr="00637560">
        <w:rPr>
          <w:rFonts w:ascii="Times New Roman" w:hAnsi="Times New Roman"/>
        </w:rPr>
        <w:t>subaward</w:t>
      </w:r>
      <w:proofErr w:type="spellEnd"/>
      <w:r w:rsidRPr="00637560">
        <w:rPr>
          <w:rFonts w:ascii="Times New Roman" w:hAnsi="Times New Roman"/>
        </w:rPr>
        <w:t xml:space="preserve"> document.  The </w:t>
      </w:r>
      <w:proofErr w:type="spellStart"/>
      <w:r w:rsidRPr="00637560">
        <w:rPr>
          <w:rFonts w:ascii="Times New Roman" w:hAnsi="Times New Roman"/>
        </w:rPr>
        <w:t>subawardee</w:t>
      </w:r>
      <w:proofErr w:type="spellEnd"/>
      <w:r w:rsidRPr="00637560">
        <w:rPr>
          <w:rFonts w:ascii="Times New Roman" w:hAnsi="Times New Roman"/>
        </w:rPr>
        <w:t xml:space="preserve"> will submit invoices and supporting documents (e.g. receipts and justification of expenses), as required, to the OCG, which reviews the invoice and submits it to the PI for approval.  The invoice will not be processed without PI approval and supporting documentation for invoices.</w:t>
      </w:r>
      <w:r w:rsidR="004D5220" w:rsidRPr="00637560">
        <w:rPr>
          <w:rFonts w:ascii="Times New Roman" w:hAnsi="Times New Roman"/>
        </w:rPr>
        <w:t xml:space="preserve">  The invoice must also be approved for payment by the Director of OCG.</w:t>
      </w:r>
    </w:p>
    <w:p w:rsidR="003066E5" w:rsidRPr="00637560" w:rsidRDefault="003066E5" w:rsidP="004F5D55">
      <w:pPr>
        <w:autoSpaceDE w:val="0"/>
        <w:autoSpaceDN w:val="0"/>
        <w:adjustRightInd w:val="0"/>
        <w:spacing w:after="0" w:line="20" w:lineRule="atLeast"/>
        <w:rPr>
          <w:rFonts w:ascii="Times New Roman" w:hAnsi="Times New Roman"/>
        </w:rPr>
      </w:pPr>
    </w:p>
    <w:p w:rsidR="003066E5" w:rsidRPr="00637560" w:rsidRDefault="003066E5" w:rsidP="004F5D55">
      <w:pPr>
        <w:autoSpaceDE w:val="0"/>
        <w:autoSpaceDN w:val="0"/>
        <w:adjustRightInd w:val="0"/>
        <w:spacing w:after="0" w:line="20" w:lineRule="atLeast"/>
        <w:rPr>
          <w:rFonts w:ascii="Times New Roman" w:hAnsi="Times New Roman"/>
        </w:rPr>
      </w:pPr>
      <w:r w:rsidRPr="00637560">
        <w:rPr>
          <w:rFonts w:ascii="Times New Roman" w:hAnsi="Times New Roman"/>
        </w:rPr>
        <w:lastRenderedPageBreak/>
        <w:t>For final invoicing, the University will make the deadline date for invoices 30 days after the project end date, which will provide sufficient time to review documentation and payment of the final invoice.</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2" w:name="_Toc405369402"/>
      <w:proofErr w:type="spellStart"/>
      <w:r w:rsidRPr="00637560">
        <w:rPr>
          <w:szCs w:val="22"/>
        </w:rPr>
        <w:t>Subaward</w:t>
      </w:r>
      <w:proofErr w:type="spellEnd"/>
      <w:r w:rsidRPr="00637560">
        <w:rPr>
          <w:szCs w:val="22"/>
        </w:rPr>
        <w:t xml:space="preserve"> Monitoring</w:t>
      </w:r>
      <w:bookmarkEnd w:id="42"/>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Responsibility for monitoring </w:t>
      </w:r>
      <w:proofErr w:type="spellStart"/>
      <w:r w:rsidRPr="00637560">
        <w:rPr>
          <w:sz w:val="22"/>
          <w:szCs w:val="22"/>
        </w:rPr>
        <w:t>subrecipients</w:t>
      </w:r>
      <w:proofErr w:type="spellEnd"/>
      <w:r w:rsidRPr="00637560">
        <w:rPr>
          <w:sz w:val="22"/>
          <w:szCs w:val="22"/>
        </w:rPr>
        <w:t xml:space="preserve"> is shared among the PI and</w:t>
      </w:r>
      <w:r w:rsidR="008B24B6" w:rsidRPr="00637560">
        <w:rPr>
          <w:sz w:val="22"/>
          <w:szCs w:val="22"/>
        </w:rPr>
        <w:t xml:space="preserve"> the OCG.  </w:t>
      </w:r>
      <w:r w:rsidRPr="00637560">
        <w:rPr>
          <w:sz w:val="22"/>
          <w:szCs w:val="22"/>
        </w:rPr>
        <w:t xml:space="preserve">The PI is responsible for approving </w:t>
      </w:r>
      <w:proofErr w:type="spellStart"/>
      <w:r w:rsidRPr="00637560">
        <w:rPr>
          <w:sz w:val="22"/>
          <w:szCs w:val="22"/>
        </w:rPr>
        <w:t>subrecipient</w:t>
      </w:r>
      <w:proofErr w:type="spellEnd"/>
      <w:r w:rsidRPr="00637560">
        <w:rPr>
          <w:sz w:val="22"/>
          <w:szCs w:val="22"/>
        </w:rPr>
        <w:t xml:space="preserve"> invoices after determining that the progress is satisfactory, and that the cost is reasonable in relation to the work performed.  If the PI has concerns about either the performance of or amount requested by the </w:t>
      </w:r>
      <w:proofErr w:type="spellStart"/>
      <w:r w:rsidRPr="00637560">
        <w:rPr>
          <w:sz w:val="22"/>
          <w:szCs w:val="22"/>
        </w:rPr>
        <w:t>subrecipient</w:t>
      </w:r>
      <w:proofErr w:type="spellEnd"/>
      <w:r w:rsidRPr="00637560">
        <w:rPr>
          <w:sz w:val="22"/>
          <w:szCs w:val="22"/>
        </w:rPr>
        <w:t xml:space="preserve">, they should be communicated as quickly as possible to </w:t>
      </w:r>
      <w:r w:rsidR="00503D42" w:rsidRPr="00637560">
        <w:rPr>
          <w:sz w:val="22"/>
          <w:szCs w:val="22"/>
        </w:rPr>
        <w:t>the OCG</w:t>
      </w:r>
      <w:r w:rsidRPr="00637560">
        <w:rPr>
          <w:sz w:val="22"/>
          <w:szCs w:val="22"/>
        </w:rPr>
        <w:t xml:space="preserve"> so that the issue can be resolved. </w:t>
      </w:r>
    </w:p>
    <w:p w:rsidR="003066E5" w:rsidRPr="00637560" w:rsidRDefault="003066E5" w:rsidP="006F4DFD">
      <w:pPr>
        <w:pStyle w:val="NormalWeb"/>
        <w:spacing w:before="0" w:beforeAutospacing="0" w:after="0" w:afterAutospacing="0"/>
        <w:rPr>
          <w:sz w:val="22"/>
          <w:szCs w:val="22"/>
        </w:rPr>
      </w:pP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If the </w:t>
      </w:r>
      <w:proofErr w:type="spellStart"/>
      <w:r w:rsidRPr="00637560">
        <w:rPr>
          <w:sz w:val="22"/>
          <w:szCs w:val="22"/>
        </w:rPr>
        <w:t>subrecipient</w:t>
      </w:r>
      <w:proofErr w:type="spellEnd"/>
      <w:r w:rsidRPr="00637560">
        <w:rPr>
          <w:sz w:val="22"/>
          <w:szCs w:val="22"/>
        </w:rPr>
        <w:t xml:space="preserve"> is not performing satisfactorily, or issues of compliance with the terms and conditions of the award arise, the OCG will work with the department and PI to devise a strategy to correct the problem, including possibly withholding payments to a </w:t>
      </w:r>
      <w:proofErr w:type="spellStart"/>
      <w:r w:rsidRPr="00637560">
        <w:rPr>
          <w:sz w:val="22"/>
          <w:szCs w:val="22"/>
        </w:rPr>
        <w:t>subrecipient</w:t>
      </w:r>
      <w:proofErr w:type="spellEnd"/>
      <w:r w:rsidRPr="00637560">
        <w:rPr>
          <w:sz w:val="22"/>
          <w:szCs w:val="22"/>
        </w:rPr>
        <w:t xml:space="preserve">. </w:t>
      </w:r>
    </w:p>
    <w:p w:rsidR="003066E5" w:rsidRPr="00637560" w:rsidRDefault="003066E5" w:rsidP="006F4DFD">
      <w:pPr>
        <w:pStyle w:val="NormalWeb"/>
        <w:spacing w:before="0" w:beforeAutospacing="0" w:after="0" w:afterAutospacing="0"/>
        <w:rPr>
          <w:sz w:val="22"/>
          <w:szCs w:val="22"/>
        </w:rPr>
      </w:pP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In the case where a </w:t>
      </w:r>
      <w:proofErr w:type="spellStart"/>
      <w:r w:rsidRPr="00637560">
        <w:rPr>
          <w:sz w:val="22"/>
          <w:szCs w:val="22"/>
        </w:rPr>
        <w:t>subrecipient</w:t>
      </w:r>
      <w:proofErr w:type="spellEnd"/>
      <w:r w:rsidRPr="00637560">
        <w:rPr>
          <w:sz w:val="22"/>
          <w:szCs w:val="22"/>
        </w:rPr>
        <w:t xml:space="preserve"> institution fails to comply with relevant audit requirements in accordance with OMB Circular A-133, the OCG may withhold new </w:t>
      </w:r>
      <w:proofErr w:type="spellStart"/>
      <w:r w:rsidRPr="00637560">
        <w:rPr>
          <w:sz w:val="22"/>
          <w:szCs w:val="22"/>
        </w:rPr>
        <w:t>Subawards</w:t>
      </w:r>
      <w:proofErr w:type="spellEnd"/>
      <w:r w:rsidRPr="00637560">
        <w:rPr>
          <w:sz w:val="22"/>
          <w:szCs w:val="22"/>
        </w:rPr>
        <w:t xml:space="preserve"> to that institution and suspend payments under </w:t>
      </w:r>
      <w:proofErr w:type="spellStart"/>
      <w:r w:rsidRPr="00637560">
        <w:rPr>
          <w:sz w:val="22"/>
          <w:szCs w:val="22"/>
        </w:rPr>
        <w:t>Subawards</w:t>
      </w:r>
      <w:proofErr w:type="spellEnd"/>
      <w:r w:rsidRPr="00637560">
        <w:rPr>
          <w:sz w:val="22"/>
          <w:szCs w:val="22"/>
        </w:rPr>
        <w:t xml:space="preserve"> until the requirements are met. </w:t>
      </w:r>
    </w:p>
    <w:p w:rsidR="003066E5" w:rsidRPr="00637560" w:rsidRDefault="003066E5" w:rsidP="006F4DFD">
      <w:pPr>
        <w:pStyle w:val="NormalWeb"/>
        <w:spacing w:before="0" w:beforeAutospacing="0" w:after="0" w:afterAutospacing="0"/>
        <w:rPr>
          <w:sz w:val="22"/>
          <w:szCs w:val="22"/>
        </w:rPr>
      </w:pP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The school/college business manager or her/his designee forwards the </w:t>
      </w:r>
      <w:proofErr w:type="spellStart"/>
      <w:r w:rsidRPr="00637560">
        <w:rPr>
          <w:sz w:val="22"/>
          <w:szCs w:val="22"/>
        </w:rPr>
        <w:t>subawardee</w:t>
      </w:r>
      <w:proofErr w:type="spellEnd"/>
      <w:r w:rsidRPr="00637560">
        <w:rPr>
          <w:sz w:val="22"/>
          <w:szCs w:val="22"/>
        </w:rPr>
        <w:t xml:space="preserve"> invoice voucher for submission to the OCG.</w:t>
      </w:r>
    </w:p>
    <w:p w:rsidR="003066E5" w:rsidRPr="00637560" w:rsidRDefault="003066E5" w:rsidP="006F4DFD">
      <w:pPr>
        <w:pStyle w:val="NormalWeb"/>
        <w:spacing w:before="0" w:beforeAutospacing="0" w:after="0" w:afterAutospacing="0"/>
        <w:rPr>
          <w:sz w:val="22"/>
          <w:szCs w:val="22"/>
        </w:rPr>
      </w:pPr>
      <w:r w:rsidRPr="00637560">
        <w:rPr>
          <w:sz w:val="22"/>
          <w:szCs w:val="22"/>
        </w:rPr>
        <w:t xml:space="preserve"> </w:t>
      </w:r>
    </w:p>
    <w:p w:rsidR="003066E5" w:rsidRPr="00637560" w:rsidRDefault="003066E5" w:rsidP="006F4DFD">
      <w:pPr>
        <w:pStyle w:val="NormalWeb"/>
        <w:spacing w:before="0" w:beforeAutospacing="0" w:after="0" w:afterAutospacing="0"/>
        <w:rPr>
          <w:sz w:val="22"/>
          <w:szCs w:val="22"/>
        </w:rPr>
      </w:pPr>
      <w:r w:rsidRPr="00637560">
        <w:rPr>
          <w:sz w:val="22"/>
          <w:szCs w:val="22"/>
        </w:rPr>
        <w:t>The OCG is responsible for approving and submitting the voucher to University Payables for payment.</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3" w:name="_Toc405369403"/>
      <w:r w:rsidRPr="00637560">
        <w:rPr>
          <w:szCs w:val="22"/>
        </w:rPr>
        <w:t>Financial Reporting</w:t>
      </w:r>
      <w:bookmarkEnd w:id="43"/>
    </w:p>
    <w:p w:rsidR="003066E5" w:rsidRPr="00637560" w:rsidRDefault="003066E5" w:rsidP="00841B2B">
      <w:pPr>
        <w:autoSpaceDE w:val="0"/>
        <w:autoSpaceDN w:val="0"/>
        <w:adjustRightInd w:val="0"/>
        <w:spacing w:after="0" w:line="20" w:lineRule="atLeast"/>
        <w:rPr>
          <w:rFonts w:ascii="Times New Roman" w:hAnsi="Times New Roman"/>
        </w:rPr>
      </w:pPr>
      <w:r w:rsidRPr="00637560">
        <w:rPr>
          <w:rFonts w:ascii="Times New Roman" w:hAnsi="Times New Roman"/>
        </w:rPr>
        <w:t>Financial reports must be su</w:t>
      </w:r>
      <w:r w:rsidR="008B24B6" w:rsidRPr="00637560">
        <w:rPr>
          <w:rFonts w:ascii="Times New Roman" w:hAnsi="Times New Roman"/>
        </w:rPr>
        <w:t xml:space="preserve">bmitted to the awarding agency </w:t>
      </w:r>
      <w:r w:rsidRPr="00637560">
        <w:rPr>
          <w:rFonts w:ascii="Times New Roman" w:hAnsi="Times New Roman"/>
        </w:rPr>
        <w:t xml:space="preserve">as described in the agreement.  Reports of expenditures are required as documentation of the financial status of grants according to the official accounting records of the recipient.  Financial or expenditure reporting is accomplished using the Financial Status Report (FSR) (SF425); the recipient must use the long form (SF 425) to report program income earned and used.  </w:t>
      </w:r>
    </w:p>
    <w:p w:rsidR="003066E5" w:rsidRPr="00637560" w:rsidRDefault="003066E5" w:rsidP="00841B2B">
      <w:pPr>
        <w:autoSpaceDE w:val="0"/>
        <w:autoSpaceDN w:val="0"/>
        <w:adjustRightInd w:val="0"/>
        <w:spacing w:after="0" w:line="20" w:lineRule="atLeast"/>
        <w:rPr>
          <w:rFonts w:ascii="Times New Roman" w:hAnsi="Times New Roman"/>
        </w:rPr>
      </w:pPr>
    </w:p>
    <w:p w:rsidR="003066E5" w:rsidRPr="00637560" w:rsidRDefault="003066E5" w:rsidP="00333D2D">
      <w:pPr>
        <w:autoSpaceDE w:val="0"/>
        <w:autoSpaceDN w:val="0"/>
        <w:adjustRightInd w:val="0"/>
        <w:spacing w:after="0" w:line="20" w:lineRule="atLeast"/>
        <w:rPr>
          <w:rFonts w:ascii="Times New Roman" w:hAnsi="Times New Roman"/>
        </w:rPr>
      </w:pPr>
      <w:r w:rsidRPr="00637560">
        <w:rPr>
          <w:rFonts w:ascii="Times New Roman" w:hAnsi="Times New Roman"/>
        </w:rPr>
        <w:t xml:space="preserve">The OCG staff is responsible for preparing and submitting the Financial Status Reports.  However, the OCG may require the assistance of the PI, school/college business manager, or other USF offices to complete the FSR.  The University Controller is required to sign the FSR on behalf of the University.  </w:t>
      </w:r>
    </w:p>
    <w:p w:rsidR="003066E5" w:rsidRPr="00637560" w:rsidRDefault="003066E5" w:rsidP="004F5D55">
      <w:pPr>
        <w:autoSpaceDE w:val="0"/>
        <w:autoSpaceDN w:val="0"/>
        <w:adjustRightInd w:val="0"/>
        <w:spacing w:after="0" w:line="20" w:lineRule="atLeast"/>
        <w:rPr>
          <w:rFonts w:ascii="Times New Roman" w:hAnsi="Times New Roman"/>
        </w:rPr>
      </w:pPr>
    </w:p>
    <w:p w:rsidR="003066E5" w:rsidRPr="00637560" w:rsidRDefault="003066E5" w:rsidP="004F5D55">
      <w:pPr>
        <w:autoSpaceDE w:val="0"/>
        <w:autoSpaceDN w:val="0"/>
        <w:adjustRightInd w:val="0"/>
        <w:spacing w:after="0" w:line="20" w:lineRule="atLeast"/>
        <w:rPr>
          <w:rFonts w:ascii="Times New Roman" w:hAnsi="Times New Roman"/>
        </w:rPr>
      </w:pPr>
      <w:r w:rsidRPr="00637560">
        <w:rPr>
          <w:rFonts w:ascii="Times New Roman" w:hAnsi="Times New Roman"/>
        </w:rPr>
        <w:t>For the final FSR, it is important for PIs and administrators to remember that th</w:t>
      </w:r>
      <w:r w:rsidR="00BE1291" w:rsidRPr="00637560">
        <w:rPr>
          <w:rFonts w:ascii="Times New Roman" w:hAnsi="Times New Roman"/>
        </w:rPr>
        <w:t>e</w:t>
      </w:r>
      <w:r w:rsidRPr="00637560">
        <w:rPr>
          <w:rFonts w:ascii="Times New Roman" w:hAnsi="Times New Roman"/>
        </w:rPr>
        <w:t xml:space="preserve"> 60-day limit does not mean expenditures can continue to be incurred on the award during this time frame. Only obligations incurred during the period of the award are allowable as costs.  School/college business managers must work with subcontractors and vendors to ensure that all expenses associated with the award are posted as quickly as possible so that a final financial report can be submitted within the required time frame.</w:t>
      </w:r>
    </w:p>
    <w:p w:rsidR="003066E5" w:rsidRPr="00637560" w:rsidRDefault="003066E5" w:rsidP="004F5D55">
      <w:pPr>
        <w:spacing w:after="0" w:line="20" w:lineRule="atLeast"/>
        <w:rPr>
          <w:rFonts w:ascii="Times New Roman" w:hAnsi="Times New Roman"/>
        </w:rPr>
      </w:pPr>
    </w:p>
    <w:p w:rsidR="003066E5" w:rsidRPr="00637560" w:rsidRDefault="003066E5" w:rsidP="008133F0">
      <w:pPr>
        <w:pStyle w:val="Heading1"/>
        <w:numPr>
          <w:ilvl w:val="0"/>
          <w:numId w:val="47"/>
        </w:numPr>
        <w:rPr>
          <w:szCs w:val="22"/>
        </w:rPr>
      </w:pPr>
      <w:bookmarkStart w:id="44" w:name="_Toc405369404"/>
      <w:r w:rsidRPr="00637560">
        <w:rPr>
          <w:szCs w:val="22"/>
        </w:rPr>
        <w:t>Technical Reporting</w:t>
      </w:r>
      <w:bookmarkEnd w:id="44"/>
    </w:p>
    <w:p w:rsidR="003066E5" w:rsidRPr="00637560" w:rsidRDefault="003066E5" w:rsidP="004F5D55">
      <w:pPr>
        <w:pStyle w:val="NormalWeb"/>
        <w:spacing w:before="0" w:beforeAutospacing="0" w:after="0" w:afterAutospacing="0" w:line="20" w:lineRule="atLeast"/>
        <w:rPr>
          <w:color w:val="000000"/>
          <w:sz w:val="22"/>
          <w:szCs w:val="22"/>
        </w:rPr>
      </w:pPr>
      <w:r w:rsidRPr="00637560">
        <w:rPr>
          <w:color w:val="000000"/>
          <w:sz w:val="22"/>
          <w:szCs w:val="22"/>
        </w:rPr>
        <w:t>Technical reports are the responsibility of the PI.  The due dates and any required form or formats for technical (i.e. performance or progress reports) are included in the terms of an award.  Most commonly, technical reports are due on an annual or budget period basis plus a final report within 60 days following the expiration date of the award.  Federal agencies may not require performance reports mor</w:t>
      </w:r>
      <w:r w:rsidR="00E0711F" w:rsidRPr="00637560">
        <w:rPr>
          <w:color w:val="000000"/>
          <w:sz w:val="22"/>
          <w:szCs w:val="22"/>
        </w:rPr>
        <w:t>e frequently than quarterly on F</w:t>
      </w:r>
      <w:r w:rsidRPr="00637560">
        <w:rPr>
          <w:color w:val="000000"/>
          <w:sz w:val="22"/>
          <w:szCs w:val="22"/>
        </w:rPr>
        <w:t>ederal grants, and not less frequently than annually.  Nevertheless, Federal contracts may have more frequent reporting requirements.</w:t>
      </w:r>
    </w:p>
    <w:p w:rsidR="003066E5" w:rsidRPr="00637560" w:rsidRDefault="003066E5" w:rsidP="004F5D55">
      <w:pPr>
        <w:pStyle w:val="NormalWeb"/>
        <w:spacing w:before="0" w:beforeAutospacing="0" w:after="0" w:afterAutospacing="0" w:line="20" w:lineRule="atLeast"/>
        <w:rPr>
          <w:color w:val="000000"/>
          <w:sz w:val="22"/>
          <w:szCs w:val="22"/>
        </w:rPr>
      </w:pPr>
    </w:p>
    <w:p w:rsidR="003066E5" w:rsidRPr="00637560" w:rsidRDefault="003066E5" w:rsidP="004F5D55">
      <w:pPr>
        <w:pStyle w:val="NormalWeb"/>
        <w:spacing w:before="0" w:beforeAutospacing="0" w:after="0" w:afterAutospacing="0" w:line="20" w:lineRule="atLeast"/>
        <w:rPr>
          <w:color w:val="000000"/>
          <w:sz w:val="22"/>
          <w:szCs w:val="22"/>
        </w:rPr>
      </w:pPr>
      <w:r w:rsidRPr="00637560">
        <w:rPr>
          <w:color w:val="000000"/>
          <w:sz w:val="22"/>
          <w:szCs w:val="22"/>
        </w:rPr>
        <w:lastRenderedPageBreak/>
        <w:t xml:space="preserve">The PI is responsible for submitting the technical report to </w:t>
      </w:r>
      <w:r w:rsidR="00AC2291" w:rsidRPr="00637560">
        <w:rPr>
          <w:color w:val="000000"/>
          <w:sz w:val="22"/>
          <w:szCs w:val="22"/>
        </w:rPr>
        <w:t xml:space="preserve">the funder by the </w:t>
      </w:r>
      <w:r w:rsidR="004D5220" w:rsidRPr="00637560">
        <w:rPr>
          <w:color w:val="000000"/>
          <w:sz w:val="22"/>
          <w:szCs w:val="22"/>
        </w:rPr>
        <w:t>external due date</w:t>
      </w:r>
      <w:r w:rsidR="00AC2291" w:rsidRPr="00637560">
        <w:rPr>
          <w:color w:val="000000"/>
          <w:sz w:val="22"/>
          <w:szCs w:val="22"/>
        </w:rPr>
        <w:t xml:space="preserve"> and sen</w:t>
      </w:r>
      <w:r w:rsidR="00BE1291" w:rsidRPr="00637560">
        <w:rPr>
          <w:color w:val="000000"/>
          <w:sz w:val="22"/>
          <w:szCs w:val="22"/>
        </w:rPr>
        <w:t>d</w:t>
      </w:r>
      <w:r w:rsidR="00AC2291" w:rsidRPr="00637560">
        <w:rPr>
          <w:color w:val="000000"/>
          <w:sz w:val="22"/>
          <w:szCs w:val="22"/>
        </w:rPr>
        <w:t xml:space="preserve">ing confirmation of the submission to the OCG.  If the report requires a financial analysis, the PI should submit the technical report to the OCG a week before it is due to the funder.  OCG will be responsible for submitting both reports by the deadline.  </w:t>
      </w:r>
      <w:r w:rsidRPr="00637560">
        <w:rPr>
          <w:color w:val="000000"/>
          <w:sz w:val="22"/>
          <w:szCs w:val="22"/>
        </w:rPr>
        <w:t xml:space="preserve"> </w:t>
      </w:r>
    </w:p>
    <w:p w:rsidR="00AC2291" w:rsidRPr="00637560" w:rsidRDefault="00AC2291" w:rsidP="004F5D55">
      <w:pPr>
        <w:pStyle w:val="NormalWeb"/>
        <w:spacing w:before="0" w:beforeAutospacing="0" w:after="0" w:afterAutospacing="0" w:line="20" w:lineRule="atLeast"/>
        <w:rPr>
          <w:color w:val="000000"/>
          <w:sz w:val="22"/>
          <w:szCs w:val="22"/>
        </w:rPr>
      </w:pPr>
    </w:p>
    <w:p w:rsidR="003066E5" w:rsidRPr="00637560" w:rsidRDefault="003066E5" w:rsidP="004F5D55">
      <w:pPr>
        <w:pStyle w:val="NormalWeb"/>
        <w:spacing w:before="0" w:beforeAutospacing="0" w:after="0" w:afterAutospacing="0" w:line="20" w:lineRule="atLeast"/>
        <w:rPr>
          <w:color w:val="000000"/>
          <w:sz w:val="22"/>
          <w:szCs w:val="22"/>
        </w:rPr>
      </w:pPr>
      <w:r w:rsidRPr="00637560">
        <w:rPr>
          <w:color w:val="000000"/>
          <w:sz w:val="22"/>
          <w:szCs w:val="22"/>
        </w:rPr>
        <w:t xml:space="preserve">Generally, OMB Circular A-110, Section .51 prescribes that technical reports should include:  1) a comparison of actual accomplishments with the goals and objectives established for the period, the findings of the investigator, or both.  Where appropriate and feasible, quantitative data should be tied to cost data. 2) reasons why established goals were not met, if appropriate; 3) other pertinent information, including any necessary explanations of unusually high costs or overruns. </w:t>
      </w:r>
    </w:p>
    <w:p w:rsidR="003066E5" w:rsidRDefault="003066E5" w:rsidP="004F5D55">
      <w:pPr>
        <w:pStyle w:val="NormalWeb"/>
        <w:spacing w:before="0" w:beforeAutospacing="0" w:after="0" w:afterAutospacing="0" w:line="20" w:lineRule="atLeast"/>
        <w:rPr>
          <w:color w:val="000000"/>
          <w:sz w:val="22"/>
          <w:szCs w:val="22"/>
        </w:rPr>
      </w:pPr>
    </w:p>
    <w:p w:rsidR="00117AC7" w:rsidRPr="00637560" w:rsidRDefault="00117AC7" w:rsidP="004F5D55">
      <w:pPr>
        <w:pStyle w:val="NormalWeb"/>
        <w:spacing w:before="0" w:beforeAutospacing="0" w:after="0" w:afterAutospacing="0" w:line="20" w:lineRule="atLeast"/>
        <w:rPr>
          <w:color w:val="000000"/>
          <w:sz w:val="22"/>
          <w:szCs w:val="22"/>
        </w:rPr>
      </w:pPr>
    </w:p>
    <w:p w:rsidR="003066E5" w:rsidRPr="00637560" w:rsidRDefault="003066E5" w:rsidP="008133F0">
      <w:pPr>
        <w:pStyle w:val="Heading1"/>
        <w:numPr>
          <w:ilvl w:val="0"/>
          <w:numId w:val="47"/>
        </w:numPr>
        <w:rPr>
          <w:szCs w:val="22"/>
        </w:rPr>
      </w:pPr>
      <w:bookmarkStart w:id="45" w:name="_Toc405369405"/>
      <w:r w:rsidRPr="00637560">
        <w:rPr>
          <w:szCs w:val="22"/>
        </w:rPr>
        <w:t>Close-Out</w:t>
      </w:r>
      <w:bookmarkEnd w:id="45"/>
      <w:r w:rsidRPr="00637560">
        <w:rPr>
          <w:szCs w:val="22"/>
        </w:rPr>
        <w:t xml:space="preserve"> </w:t>
      </w:r>
    </w:p>
    <w:p w:rsidR="003066E5" w:rsidRPr="00637560" w:rsidRDefault="003066E5" w:rsidP="004F5D55">
      <w:pPr>
        <w:pStyle w:val="NormalWeb"/>
        <w:spacing w:before="0" w:beforeAutospacing="0" w:after="0" w:afterAutospacing="0" w:line="20" w:lineRule="atLeast"/>
        <w:rPr>
          <w:sz w:val="22"/>
          <w:szCs w:val="22"/>
        </w:rPr>
      </w:pPr>
      <w:r w:rsidRPr="00637560">
        <w:rPr>
          <w:sz w:val="22"/>
          <w:szCs w:val="22"/>
        </w:rPr>
        <w:t xml:space="preserve">Within the 60 days after a project has ended the PI must submit a final progress report to the sponsor before an award can be closed out.  Sponsors might also require an additional form, report, final invention statement, or final financial status report to officially close out an award.  </w:t>
      </w:r>
      <w:r w:rsidRPr="00637560">
        <w:rPr>
          <w:bCs/>
          <w:sz w:val="22"/>
          <w:szCs w:val="22"/>
        </w:rPr>
        <w:t xml:space="preserve">Review the terms </w:t>
      </w:r>
      <w:r w:rsidR="00BE1291" w:rsidRPr="00637560">
        <w:rPr>
          <w:bCs/>
          <w:sz w:val="22"/>
          <w:szCs w:val="22"/>
        </w:rPr>
        <w:t>and</w:t>
      </w:r>
      <w:r w:rsidRPr="00637560">
        <w:rPr>
          <w:bCs/>
          <w:sz w:val="22"/>
          <w:szCs w:val="22"/>
        </w:rPr>
        <w:t xml:space="preserve"> conditions of your award for specific close out procedures.</w:t>
      </w:r>
    </w:p>
    <w:p w:rsidR="003066E5" w:rsidRPr="00637560" w:rsidRDefault="003066E5" w:rsidP="004F5D55">
      <w:pPr>
        <w:pStyle w:val="NormalWeb"/>
        <w:spacing w:before="0" w:beforeAutospacing="0" w:after="0" w:afterAutospacing="0" w:line="20" w:lineRule="atLeast"/>
        <w:rPr>
          <w:sz w:val="22"/>
          <w:szCs w:val="22"/>
        </w:rPr>
      </w:pPr>
    </w:p>
    <w:p w:rsidR="003066E5" w:rsidRPr="00637560" w:rsidRDefault="003066E5" w:rsidP="004F5D55">
      <w:pPr>
        <w:pStyle w:val="NormalWeb"/>
        <w:spacing w:before="0" w:beforeAutospacing="0" w:after="0" w:afterAutospacing="0" w:line="20" w:lineRule="atLeast"/>
        <w:rPr>
          <w:sz w:val="22"/>
          <w:szCs w:val="22"/>
        </w:rPr>
      </w:pPr>
      <w:r w:rsidRPr="00637560">
        <w:rPr>
          <w:sz w:val="22"/>
          <w:szCs w:val="22"/>
        </w:rPr>
        <w:t xml:space="preserve">Unless it requires University endorsement, progress reports can be submitted directly to the sponsor with the exception of reports to foundations or corporations where the CFR Office will submit the report.  </w:t>
      </w:r>
      <w:r w:rsidR="00DB3A26" w:rsidRPr="00637560">
        <w:rPr>
          <w:sz w:val="22"/>
          <w:szCs w:val="22"/>
        </w:rPr>
        <w:t xml:space="preserve">If </w:t>
      </w:r>
      <w:r w:rsidR="00A31668" w:rsidRPr="00637560">
        <w:rPr>
          <w:sz w:val="22"/>
          <w:szCs w:val="22"/>
        </w:rPr>
        <w:t xml:space="preserve">a progress report is </w:t>
      </w:r>
      <w:r w:rsidR="00DB3A26" w:rsidRPr="00637560">
        <w:rPr>
          <w:sz w:val="22"/>
          <w:szCs w:val="22"/>
        </w:rPr>
        <w:t>submitted directly</w:t>
      </w:r>
      <w:r w:rsidR="00A31668" w:rsidRPr="00637560">
        <w:rPr>
          <w:sz w:val="22"/>
          <w:szCs w:val="22"/>
        </w:rPr>
        <w:t xml:space="preserve"> to the sponsor</w:t>
      </w:r>
      <w:r w:rsidR="00DB3A26" w:rsidRPr="00637560">
        <w:rPr>
          <w:sz w:val="22"/>
          <w:szCs w:val="22"/>
        </w:rPr>
        <w:t xml:space="preserve">, </w:t>
      </w:r>
      <w:r w:rsidR="00BC66EE" w:rsidRPr="00637560">
        <w:rPr>
          <w:sz w:val="22"/>
          <w:szCs w:val="22"/>
        </w:rPr>
        <w:t>please</w:t>
      </w:r>
      <w:r w:rsidR="00A31668" w:rsidRPr="00637560">
        <w:rPr>
          <w:sz w:val="22"/>
          <w:szCs w:val="22"/>
        </w:rPr>
        <w:t xml:space="preserve"> promptly send a copy to OCG. </w:t>
      </w:r>
      <w:r w:rsidR="00BC66EE" w:rsidRPr="00637560">
        <w:rPr>
          <w:sz w:val="22"/>
          <w:szCs w:val="22"/>
        </w:rPr>
        <w:t xml:space="preserve"> </w:t>
      </w:r>
      <w:r w:rsidRPr="00637560">
        <w:rPr>
          <w:sz w:val="22"/>
          <w:szCs w:val="22"/>
        </w:rPr>
        <w:t xml:space="preserve">For final invention statements, bring the form to the OCG for countersignature by the Vice Provost.  For final financial status reports, refer to the Financial Reporting section or contact the OCG. </w:t>
      </w:r>
    </w:p>
    <w:p w:rsidR="003066E5" w:rsidRPr="00637560" w:rsidRDefault="003066E5" w:rsidP="004F5D55">
      <w:pPr>
        <w:pStyle w:val="NormalWeb"/>
        <w:spacing w:before="0" w:beforeAutospacing="0" w:after="0" w:afterAutospacing="0" w:line="20" w:lineRule="atLeast"/>
        <w:rPr>
          <w:sz w:val="22"/>
          <w:szCs w:val="22"/>
        </w:rPr>
      </w:pPr>
    </w:p>
    <w:p w:rsidR="003066E5" w:rsidRPr="00637560" w:rsidRDefault="003066E5" w:rsidP="004F5D55">
      <w:pPr>
        <w:pStyle w:val="NormalWeb"/>
        <w:spacing w:before="0" w:beforeAutospacing="0" w:after="0" w:afterAutospacing="0" w:line="20" w:lineRule="atLeast"/>
        <w:rPr>
          <w:b/>
          <w:i/>
          <w:sz w:val="22"/>
          <w:szCs w:val="22"/>
        </w:rPr>
      </w:pPr>
      <w:r w:rsidRPr="00637560">
        <w:rPr>
          <w:b/>
          <w:i/>
          <w:sz w:val="22"/>
          <w:szCs w:val="22"/>
        </w:rPr>
        <w:t>No-cost Extension</w:t>
      </w:r>
    </w:p>
    <w:p w:rsidR="003066E5" w:rsidRPr="00637560" w:rsidRDefault="003066E5" w:rsidP="004F5D55">
      <w:pPr>
        <w:spacing w:after="0" w:line="20" w:lineRule="atLeast"/>
        <w:rPr>
          <w:rFonts w:ascii="Times New Roman" w:hAnsi="Times New Roman"/>
        </w:rPr>
      </w:pPr>
      <w:r w:rsidRPr="00637560">
        <w:rPr>
          <w:rFonts w:ascii="Times New Roman" w:hAnsi="Times New Roman"/>
        </w:rPr>
        <w:t>The University is authorized to request n</w:t>
      </w:r>
      <w:r w:rsidR="008B24B6" w:rsidRPr="00637560">
        <w:rPr>
          <w:rFonts w:ascii="Times New Roman" w:hAnsi="Times New Roman"/>
        </w:rPr>
        <w:t>o-cost extensions for eligible F</w:t>
      </w:r>
      <w:r w:rsidRPr="00637560">
        <w:rPr>
          <w:rFonts w:ascii="Times New Roman" w:hAnsi="Times New Roman"/>
        </w:rPr>
        <w:t>ederal and other grants.  The extension cannot be exercised merely for the purpose of using unobligated balances.  The request requires:</w:t>
      </w:r>
    </w:p>
    <w:p w:rsidR="003066E5" w:rsidRPr="00637560" w:rsidRDefault="003066E5" w:rsidP="004F5D55">
      <w:pPr>
        <w:spacing w:after="0" w:line="20" w:lineRule="atLeast"/>
        <w:rPr>
          <w:rFonts w:ascii="Times New Roman" w:hAnsi="Times New Roman"/>
        </w:rPr>
      </w:pPr>
    </w:p>
    <w:p w:rsidR="003066E5" w:rsidRPr="00637560" w:rsidRDefault="003066E5" w:rsidP="00943E4D">
      <w:pPr>
        <w:numPr>
          <w:ilvl w:val="0"/>
          <w:numId w:val="9"/>
        </w:numPr>
        <w:spacing w:after="0" w:line="20" w:lineRule="atLeast"/>
        <w:rPr>
          <w:rFonts w:ascii="Times New Roman" w:hAnsi="Times New Roman"/>
        </w:rPr>
      </w:pPr>
      <w:r w:rsidRPr="00637560">
        <w:rPr>
          <w:rFonts w:ascii="Times New Roman" w:hAnsi="Times New Roman"/>
        </w:rPr>
        <w:t>The PI to send a justification letter to the OCG.  The letter is to include the length of the extension, the amount to be carried forward, and the plans for completing the project.</w:t>
      </w:r>
    </w:p>
    <w:p w:rsidR="003066E5" w:rsidRPr="00637560" w:rsidRDefault="003066E5" w:rsidP="00943E4D">
      <w:pPr>
        <w:numPr>
          <w:ilvl w:val="0"/>
          <w:numId w:val="9"/>
        </w:numPr>
        <w:spacing w:after="0" w:line="20" w:lineRule="atLeast"/>
        <w:rPr>
          <w:rFonts w:ascii="Times New Roman" w:hAnsi="Times New Roman"/>
        </w:rPr>
      </w:pPr>
      <w:r w:rsidRPr="00637560">
        <w:rPr>
          <w:rFonts w:ascii="Times New Roman" w:hAnsi="Times New Roman"/>
        </w:rPr>
        <w:t>The OCG will notify the sponsor of the extension by countersigning the letter and forwarding it to the sponsor-granting officer.</w:t>
      </w:r>
    </w:p>
    <w:p w:rsidR="003066E5" w:rsidRPr="00637560" w:rsidRDefault="003066E5" w:rsidP="004F5D55">
      <w:pPr>
        <w:pStyle w:val="NormalWeb"/>
        <w:spacing w:before="0" w:beforeAutospacing="0" w:after="0" w:afterAutospacing="0" w:line="20" w:lineRule="atLeast"/>
        <w:rPr>
          <w:sz w:val="22"/>
          <w:szCs w:val="22"/>
        </w:rPr>
      </w:pPr>
    </w:p>
    <w:p w:rsidR="003066E5" w:rsidRPr="00637560" w:rsidRDefault="003066E5" w:rsidP="008133F0">
      <w:pPr>
        <w:pStyle w:val="Heading1"/>
        <w:numPr>
          <w:ilvl w:val="0"/>
          <w:numId w:val="47"/>
        </w:numPr>
        <w:rPr>
          <w:szCs w:val="22"/>
        </w:rPr>
      </w:pPr>
      <w:bookmarkStart w:id="46" w:name="_Toc405369406"/>
      <w:r w:rsidRPr="00637560">
        <w:rPr>
          <w:szCs w:val="22"/>
        </w:rPr>
        <w:t>Record Retention</w:t>
      </w:r>
      <w:bookmarkEnd w:id="46"/>
    </w:p>
    <w:p w:rsidR="003066E5" w:rsidRPr="00637560" w:rsidRDefault="003066E5" w:rsidP="004F5D55">
      <w:pPr>
        <w:pStyle w:val="definition"/>
        <w:spacing w:before="0" w:beforeAutospacing="0" w:after="0" w:afterAutospacing="0" w:line="20" w:lineRule="atLeast"/>
        <w:rPr>
          <w:sz w:val="22"/>
          <w:szCs w:val="22"/>
        </w:rPr>
      </w:pPr>
      <w:r w:rsidRPr="00637560">
        <w:rPr>
          <w:sz w:val="22"/>
          <w:szCs w:val="22"/>
        </w:rPr>
        <w:t>Records, including financial documentation, statistical records, research data including lab books, and scientific papers, pertinent to the project must be retained for three years following submission of the final financial report, unless the terms of the award provide for a different period.  Electronic or copied paper versions of records may be used in place of the original records.</w:t>
      </w:r>
    </w:p>
    <w:p w:rsidR="003066E5" w:rsidRPr="00637560" w:rsidRDefault="003066E5" w:rsidP="004F5D55">
      <w:pPr>
        <w:pStyle w:val="definition"/>
        <w:spacing w:before="0" w:beforeAutospacing="0" w:after="0" w:afterAutospacing="0" w:line="20" w:lineRule="atLeast"/>
        <w:rPr>
          <w:sz w:val="22"/>
          <w:szCs w:val="22"/>
        </w:rPr>
      </w:pPr>
    </w:p>
    <w:p w:rsidR="003066E5" w:rsidRPr="00637560" w:rsidRDefault="003066E5" w:rsidP="004F5D55">
      <w:pPr>
        <w:pStyle w:val="definition"/>
        <w:spacing w:before="0" w:beforeAutospacing="0" w:after="0" w:afterAutospacing="0" w:line="20" w:lineRule="atLeast"/>
        <w:rPr>
          <w:sz w:val="22"/>
          <w:szCs w:val="22"/>
        </w:rPr>
      </w:pPr>
      <w:r w:rsidRPr="00637560">
        <w:rPr>
          <w:sz w:val="22"/>
          <w:szCs w:val="22"/>
        </w:rPr>
        <w:t>Please note that although “missing receipt forms” are allowed for Concur reconciliation reports, they cannot be used when accounting for grant-related expenditures.</w:t>
      </w:r>
    </w:p>
    <w:p w:rsidR="003066E5" w:rsidRPr="00637560" w:rsidRDefault="003066E5" w:rsidP="004F5D55">
      <w:pPr>
        <w:pStyle w:val="definition"/>
        <w:spacing w:before="0" w:beforeAutospacing="0" w:after="0" w:afterAutospacing="0" w:line="20" w:lineRule="atLeast"/>
        <w:rPr>
          <w:sz w:val="22"/>
          <w:szCs w:val="22"/>
        </w:rPr>
      </w:pPr>
    </w:p>
    <w:p w:rsidR="003066E5" w:rsidRPr="00637560" w:rsidRDefault="003066E5" w:rsidP="004F5D55">
      <w:pPr>
        <w:pStyle w:val="definition"/>
        <w:spacing w:before="0" w:beforeAutospacing="0" w:after="0" w:afterAutospacing="0" w:line="20" w:lineRule="atLeast"/>
        <w:rPr>
          <w:sz w:val="22"/>
          <w:szCs w:val="22"/>
        </w:rPr>
      </w:pPr>
      <w:r w:rsidRPr="00637560">
        <w:rPr>
          <w:sz w:val="22"/>
          <w:szCs w:val="22"/>
        </w:rPr>
        <w:t>Record retention for other sponsors is as specified in the award or in sponsor policy.  If litigation commences within three years of the end of the project or project period, records must be retained until the litigation reaches its final outcome.</w:t>
      </w:r>
      <w:r w:rsidR="00BE1291" w:rsidRPr="00637560">
        <w:rPr>
          <w:sz w:val="22"/>
          <w:szCs w:val="22"/>
        </w:rPr>
        <w:t xml:space="preserve"> </w:t>
      </w:r>
    </w:p>
    <w:p w:rsidR="003066E5" w:rsidRPr="00637560" w:rsidRDefault="003066E5" w:rsidP="004F5D55">
      <w:pPr>
        <w:pStyle w:val="ListParagraph"/>
        <w:spacing w:after="0" w:line="20" w:lineRule="atLeast"/>
        <w:ind w:left="0"/>
        <w:rPr>
          <w:rFonts w:ascii="Times New Roman" w:hAnsi="Times New Roman"/>
        </w:rPr>
      </w:pPr>
    </w:p>
    <w:p w:rsidR="003066E5" w:rsidRPr="00637560" w:rsidRDefault="003066E5" w:rsidP="008133F0">
      <w:pPr>
        <w:pStyle w:val="Heading1"/>
        <w:numPr>
          <w:ilvl w:val="0"/>
          <w:numId w:val="47"/>
        </w:numPr>
        <w:rPr>
          <w:szCs w:val="22"/>
        </w:rPr>
      </w:pPr>
      <w:bookmarkStart w:id="47" w:name="_Toc405369407"/>
      <w:r w:rsidRPr="00637560">
        <w:rPr>
          <w:szCs w:val="22"/>
        </w:rPr>
        <w:lastRenderedPageBreak/>
        <w:t>Conflicts of Interest</w:t>
      </w:r>
      <w:bookmarkEnd w:id="47"/>
    </w:p>
    <w:p w:rsidR="003066E5" w:rsidRPr="00637560" w:rsidRDefault="003066E5" w:rsidP="004F5D55">
      <w:pPr>
        <w:pStyle w:val="ListParagraph"/>
        <w:spacing w:after="0" w:line="240" w:lineRule="auto"/>
        <w:ind w:left="0"/>
        <w:rPr>
          <w:rFonts w:ascii="Times New Roman" w:hAnsi="Times New Roman"/>
        </w:rPr>
      </w:pPr>
      <w:r w:rsidRPr="00637560">
        <w:rPr>
          <w:rFonts w:ascii="Times New Roman" w:hAnsi="Times New Roman"/>
        </w:rPr>
        <w:t>Conflict of interest  arises when an University staff member is in a position to influence either directly or indirectly university business, research, or other decisions in ways that could lead to gain for the staff member, the staff member’s family, or others to the detriment of the University’s integrity and its missions of teaching, research, and public service.</w:t>
      </w:r>
    </w:p>
    <w:p w:rsidR="003066E5" w:rsidRPr="00637560" w:rsidRDefault="003066E5" w:rsidP="004F5D55">
      <w:pPr>
        <w:pStyle w:val="ListParagraph"/>
        <w:spacing w:after="0" w:line="240" w:lineRule="auto"/>
        <w:ind w:left="0"/>
        <w:rPr>
          <w:rFonts w:ascii="Times New Roman" w:hAnsi="Times New Roman"/>
        </w:rPr>
      </w:pPr>
    </w:p>
    <w:p w:rsidR="003066E5" w:rsidRPr="00637560" w:rsidRDefault="003066E5" w:rsidP="004F5D55">
      <w:pPr>
        <w:spacing w:after="0" w:line="240" w:lineRule="auto"/>
        <w:rPr>
          <w:rFonts w:ascii="Times New Roman" w:hAnsi="Times New Roman"/>
        </w:rPr>
      </w:pPr>
      <w:r w:rsidRPr="00637560">
        <w:rPr>
          <w:rFonts w:ascii="Times New Roman" w:hAnsi="Times New Roman"/>
        </w:rPr>
        <w:t xml:space="preserve">In accordance with Federal regulations, USF requires that a PI or other responsible person disclose any potential conflict of interest due to a significant financial interest in a sponsored activity to the dean and to the OCG before a proposal for that activity may be submitted to a sponsoring agency.  A potential conflict of interest exists when the personal or private interests of an individual, their spouse or dependent might lead an independent observer to reasonably question whether the individual’s professional actions or decisions are influenced by considerations of significant personal interest, financial or otherwise.  Significant financial interest means anything of monetary value such as salary or other payments, equity interests, and intellectual property rights.  </w:t>
      </w:r>
      <w:r w:rsidR="004D5220" w:rsidRPr="00637560">
        <w:rPr>
          <w:rFonts w:ascii="Times New Roman" w:hAnsi="Times New Roman"/>
        </w:rPr>
        <w:t>For NIH grants, OCG will require the PI and all research assistants and students to complete Financial Conflict of Interest forms to comply with the federal requirement.</w:t>
      </w:r>
    </w:p>
    <w:p w:rsidR="003066E5" w:rsidRPr="00637560" w:rsidRDefault="003066E5" w:rsidP="004F5D55">
      <w:pPr>
        <w:spacing w:after="0" w:line="240" w:lineRule="auto"/>
        <w:rPr>
          <w:rFonts w:ascii="Times New Roman" w:hAnsi="Times New Roman"/>
        </w:rPr>
      </w:pPr>
    </w:p>
    <w:p w:rsidR="003066E5" w:rsidRPr="00637560" w:rsidRDefault="003066E5" w:rsidP="00D47101">
      <w:pPr>
        <w:spacing w:after="0" w:line="240" w:lineRule="auto"/>
        <w:rPr>
          <w:rFonts w:ascii="Times New Roman" w:hAnsi="Times New Roman"/>
        </w:rPr>
      </w:pPr>
      <w:r w:rsidRPr="00637560">
        <w:rPr>
          <w:rFonts w:ascii="Times New Roman" w:hAnsi="Times New Roman"/>
        </w:rPr>
        <w:t xml:space="preserve">If the OCG determines that significant financial interests could affect the design, conduct, or reporting of sponsored activities, the OCG shall refer the matter to the University’s Vice Provost to review.  </w:t>
      </w:r>
    </w:p>
    <w:p w:rsidR="004D5220" w:rsidRPr="00637560" w:rsidRDefault="004D5220" w:rsidP="004D5220">
      <w:pPr>
        <w:spacing w:after="0" w:line="240" w:lineRule="auto"/>
        <w:rPr>
          <w:rFonts w:ascii="Times New Roman" w:hAnsi="Times New Roman"/>
        </w:rPr>
      </w:pPr>
    </w:p>
    <w:p w:rsidR="004D5220" w:rsidRPr="00637560" w:rsidRDefault="004D5220" w:rsidP="004D5220">
      <w:pPr>
        <w:spacing w:after="0" w:line="240" w:lineRule="auto"/>
        <w:rPr>
          <w:rFonts w:ascii="Times New Roman" w:hAnsi="Times New Roman"/>
        </w:rPr>
      </w:pPr>
      <w:r w:rsidRPr="00637560">
        <w:rPr>
          <w:rFonts w:ascii="Times New Roman" w:hAnsi="Times New Roman"/>
        </w:rPr>
        <w:t xml:space="preserve">In addition, it is University policy that PIs shall not hire any family members under their sponsored award.  </w:t>
      </w:r>
    </w:p>
    <w:p w:rsidR="00637560" w:rsidRDefault="00637560" w:rsidP="00637560">
      <w:pPr>
        <w:spacing w:after="0" w:line="240" w:lineRule="auto"/>
        <w:rPr>
          <w:rFonts w:ascii="Times New Roman" w:hAnsi="Times New Roman"/>
          <w:b/>
        </w:rPr>
      </w:pPr>
    </w:p>
    <w:p w:rsidR="003066E5" w:rsidRPr="00237D4A" w:rsidRDefault="003066E5" w:rsidP="00237D4A">
      <w:pPr>
        <w:pStyle w:val="Heading1"/>
        <w:numPr>
          <w:ilvl w:val="0"/>
          <w:numId w:val="47"/>
        </w:numPr>
      </w:pPr>
      <w:bookmarkStart w:id="48" w:name="_Toc405369408"/>
      <w:r w:rsidRPr="00237D4A">
        <w:t>Responsible Conduct of Research</w:t>
      </w:r>
      <w:bookmarkEnd w:id="48"/>
    </w:p>
    <w:p w:rsidR="003066E5" w:rsidRPr="00637560" w:rsidRDefault="003066E5">
      <w:pPr>
        <w:spacing w:after="0" w:line="240" w:lineRule="auto"/>
        <w:rPr>
          <w:rFonts w:ascii="Times New Roman" w:hAnsi="Times New Roman"/>
          <w:color w:val="000000"/>
        </w:rPr>
      </w:pPr>
      <w:r w:rsidRPr="00637560">
        <w:rPr>
          <w:rFonts w:ascii="Times New Roman" w:hAnsi="Times New Roman"/>
        </w:rPr>
        <w:t xml:space="preserve">The University requires that all </w:t>
      </w:r>
      <w:r w:rsidR="008B24B6" w:rsidRPr="00637560">
        <w:rPr>
          <w:rFonts w:ascii="Times New Roman" w:hAnsi="Times New Roman"/>
        </w:rPr>
        <w:t>PIs who receive F</w:t>
      </w:r>
      <w:r w:rsidRPr="00637560">
        <w:rPr>
          <w:rFonts w:ascii="Times New Roman" w:hAnsi="Times New Roman"/>
        </w:rPr>
        <w:t xml:space="preserve">ederal grants must undergo training in Responsible Conduct of Research by using the approved/suggested procedures available from OCG. Expenditures on a grant cannot begin until after the training has been completed by the PI. </w:t>
      </w:r>
      <w:r w:rsidR="004D5220" w:rsidRPr="00637560">
        <w:rPr>
          <w:rFonts w:ascii="Times New Roman" w:hAnsi="Times New Roman"/>
        </w:rPr>
        <w:t xml:space="preserve"> </w:t>
      </w:r>
      <w:r w:rsidRPr="00637560">
        <w:rPr>
          <w:rFonts w:ascii="Times New Roman" w:hAnsi="Times New Roman"/>
        </w:rPr>
        <w:t xml:space="preserve">It is also the responsibility of the PI to train all research assistants on the principles of Responsible Conduct of Research.  OCG will provide information on this training when the grant is awarded. </w:t>
      </w:r>
    </w:p>
    <w:p w:rsidR="003066E5" w:rsidRPr="00637560" w:rsidRDefault="003066E5">
      <w:pPr>
        <w:spacing w:after="0" w:line="240" w:lineRule="auto"/>
        <w:rPr>
          <w:rFonts w:ascii="Times New Roman" w:hAnsi="Times New Roman"/>
        </w:rPr>
      </w:pPr>
    </w:p>
    <w:p w:rsidR="003066E5" w:rsidRDefault="003066E5">
      <w:pPr>
        <w:spacing w:after="0" w:line="240" w:lineRule="auto"/>
        <w:rPr>
          <w:rFonts w:ascii="Times New Roman" w:hAnsi="Times New Roman"/>
        </w:rPr>
      </w:pPr>
      <w:r w:rsidRPr="00637560">
        <w:rPr>
          <w:rFonts w:ascii="Times New Roman" w:hAnsi="Times New Roman"/>
        </w:rPr>
        <w:t xml:space="preserve">Faculty and student completion of the RCR training will be monitored </w:t>
      </w:r>
      <w:r w:rsidR="004D5220" w:rsidRPr="00637560">
        <w:rPr>
          <w:rFonts w:ascii="Times New Roman" w:hAnsi="Times New Roman"/>
        </w:rPr>
        <w:t xml:space="preserve">monthly </w:t>
      </w:r>
      <w:r w:rsidRPr="00637560">
        <w:rPr>
          <w:rFonts w:ascii="Times New Roman" w:hAnsi="Times New Roman"/>
        </w:rPr>
        <w:t>by the OCG</w:t>
      </w:r>
      <w:r w:rsidR="004D5220" w:rsidRPr="00637560">
        <w:rPr>
          <w:rFonts w:ascii="Times New Roman" w:hAnsi="Times New Roman"/>
        </w:rPr>
        <w:t xml:space="preserve"> and regular reminders will be sent until the training has been completed.</w:t>
      </w:r>
      <w:r w:rsidR="004D5220">
        <w:rPr>
          <w:rFonts w:ascii="Times New Roman" w:hAnsi="Times New Roman"/>
        </w:rPr>
        <w:t xml:space="preserve"> </w:t>
      </w:r>
    </w:p>
    <w:sectPr w:rsidR="003066E5" w:rsidSect="00962B88">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27" w:rsidRDefault="00312027" w:rsidP="00217B11">
      <w:pPr>
        <w:spacing w:after="0" w:line="240" w:lineRule="auto"/>
      </w:pPr>
      <w:r>
        <w:separator/>
      </w:r>
    </w:p>
  </w:endnote>
  <w:endnote w:type="continuationSeparator" w:id="0">
    <w:p w:rsidR="00312027" w:rsidRDefault="00312027" w:rsidP="002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27" w:rsidRPr="00217B11" w:rsidRDefault="00312027" w:rsidP="00217B11">
    <w:pPr>
      <w:pStyle w:val="Footer"/>
      <w:jc w:val="center"/>
      <w:rPr>
        <w:rFonts w:ascii="Times New Roman" w:hAnsi="Times New Roman"/>
        <w:sz w:val="20"/>
        <w:szCs w:val="20"/>
      </w:rPr>
    </w:pPr>
    <w:r w:rsidRPr="00217B11">
      <w:rPr>
        <w:rFonts w:ascii="Times New Roman" w:hAnsi="Times New Roman"/>
        <w:sz w:val="20"/>
        <w:szCs w:val="20"/>
      </w:rPr>
      <w:t xml:space="preserve">Page </w:t>
    </w:r>
    <w:r w:rsidRPr="00217B11">
      <w:rPr>
        <w:rFonts w:ascii="Times New Roman" w:hAnsi="Times New Roman"/>
        <w:sz w:val="20"/>
        <w:szCs w:val="20"/>
      </w:rPr>
      <w:fldChar w:fldCharType="begin"/>
    </w:r>
    <w:r w:rsidRPr="00217B11">
      <w:rPr>
        <w:rFonts w:ascii="Times New Roman" w:hAnsi="Times New Roman"/>
        <w:sz w:val="20"/>
        <w:szCs w:val="20"/>
      </w:rPr>
      <w:instrText xml:space="preserve"> PAGE </w:instrText>
    </w:r>
    <w:r w:rsidRPr="00217B11">
      <w:rPr>
        <w:rFonts w:ascii="Times New Roman" w:hAnsi="Times New Roman"/>
        <w:sz w:val="20"/>
        <w:szCs w:val="20"/>
      </w:rPr>
      <w:fldChar w:fldCharType="separate"/>
    </w:r>
    <w:r w:rsidR="00392E1F">
      <w:rPr>
        <w:rFonts w:ascii="Times New Roman" w:hAnsi="Times New Roman"/>
        <w:noProof/>
        <w:sz w:val="20"/>
        <w:szCs w:val="20"/>
      </w:rPr>
      <w:t>2</w:t>
    </w:r>
    <w:r w:rsidRPr="00217B11">
      <w:rPr>
        <w:rFonts w:ascii="Times New Roman" w:hAnsi="Times New Roman"/>
        <w:sz w:val="20"/>
        <w:szCs w:val="20"/>
      </w:rPr>
      <w:fldChar w:fldCharType="end"/>
    </w:r>
    <w:r w:rsidRPr="00217B11">
      <w:rPr>
        <w:rFonts w:ascii="Times New Roman" w:hAnsi="Times New Roman"/>
        <w:sz w:val="20"/>
        <w:szCs w:val="20"/>
      </w:rPr>
      <w:t xml:space="preserve"> of </w:t>
    </w:r>
    <w:r w:rsidRPr="00217B11">
      <w:rPr>
        <w:rFonts w:ascii="Times New Roman" w:hAnsi="Times New Roman"/>
        <w:sz w:val="20"/>
        <w:szCs w:val="20"/>
      </w:rPr>
      <w:fldChar w:fldCharType="begin"/>
    </w:r>
    <w:r w:rsidRPr="00217B11">
      <w:rPr>
        <w:rFonts w:ascii="Times New Roman" w:hAnsi="Times New Roman"/>
        <w:sz w:val="20"/>
        <w:szCs w:val="20"/>
      </w:rPr>
      <w:instrText xml:space="preserve"> NUMPAGES  </w:instrText>
    </w:r>
    <w:r w:rsidRPr="00217B11">
      <w:rPr>
        <w:rFonts w:ascii="Times New Roman" w:hAnsi="Times New Roman"/>
        <w:sz w:val="20"/>
        <w:szCs w:val="20"/>
      </w:rPr>
      <w:fldChar w:fldCharType="separate"/>
    </w:r>
    <w:r w:rsidR="00392E1F">
      <w:rPr>
        <w:rFonts w:ascii="Times New Roman" w:hAnsi="Times New Roman"/>
        <w:noProof/>
        <w:sz w:val="20"/>
        <w:szCs w:val="20"/>
      </w:rPr>
      <w:t>26</w:t>
    </w:r>
    <w:r w:rsidRPr="00217B11">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27" w:rsidRPr="00217B11" w:rsidRDefault="00312027" w:rsidP="00217B11">
    <w:pPr>
      <w:pStyle w:val="Footer"/>
      <w:jc w:val="center"/>
      <w:rPr>
        <w:rFonts w:ascii="Times New Roman" w:hAnsi="Times New Roman"/>
        <w:sz w:val="20"/>
        <w:szCs w:val="20"/>
      </w:rPr>
    </w:pPr>
    <w:r w:rsidRPr="00217B11">
      <w:rPr>
        <w:rFonts w:ascii="Times New Roman" w:hAnsi="Times New Roman"/>
        <w:sz w:val="20"/>
        <w:szCs w:val="20"/>
      </w:rPr>
      <w:t xml:space="preserve">Page </w:t>
    </w:r>
    <w:r w:rsidRPr="00217B11">
      <w:rPr>
        <w:rFonts w:ascii="Times New Roman" w:hAnsi="Times New Roman"/>
        <w:sz w:val="20"/>
        <w:szCs w:val="20"/>
      </w:rPr>
      <w:fldChar w:fldCharType="begin"/>
    </w:r>
    <w:r w:rsidRPr="00217B11">
      <w:rPr>
        <w:rFonts w:ascii="Times New Roman" w:hAnsi="Times New Roman"/>
        <w:sz w:val="20"/>
        <w:szCs w:val="20"/>
      </w:rPr>
      <w:instrText xml:space="preserve"> PAGE </w:instrText>
    </w:r>
    <w:r w:rsidRPr="00217B11">
      <w:rPr>
        <w:rFonts w:ascii="Times New Roman" w:hAnsi="Times New Roman"/>
        <w:sz w:val="20"/>
        <w:szCs w:val="20"/>
      </w:rPr>
      <w:fldChar w:fldCharType="separate"/>
    </w:r>
    <w:r w:rsidR="00392E1F">
      <w:rPr>
        <w:rFonts w:ascii="Times New Roman" w:hAnsi="Times New Roman"/>
        <w:noProof/>
        <w:sz w:val="20"/>
        <w:szCs w:val="20"/>
      </w:rPr>
      <w:t>4</w:t>
    </w:r>
    <w:r w:rsidRPr="00217B11">
      <w:rPr>
        <w:rFonts w:ascii="Times New Roman" w:hAnsi="Times New Roman"/>
        <w:sz w:val="20"/>
        <w:szCs w:val="20"/>
      </w:rPr>
      <w:fldChar w:fldCharType="end"/>
    </w:r>
    <w:r w:rsidRPr="00217B11">
      <w:rPr>
        <w:rFonts w:ascii="Times New Roman" w:hAnsi="Times New Roman"/>
        <w:sz w:val="20"/>
        <w:szCs w:val="20"/>
      </w:rPr>
      <w:t xml:space="preserve"> of </w:t>
    </w:r>
    <w:r w:rsidRPr="00217B11">
      <w:rPr>
        <w:rFonts w:ascii="Times New Roman" w:hAnsi="Times New Roman"/>
        <w:sz w:val="20"/>
        <w:szCs w:val="20"/>
      </w:rPr>
      <w:fldChar w:fldCharType="begin"/>
    </w:r>
    <w:r w:rsidRPr="00217B11">
      <w:rPr>
        <w:rFonts w:ascii="Times New Roman" w:hAnsi="Times New Roman"/>
        <w:sz w:val="20"/>
        <w:szCs w:val="20"/>
      </w:rPr>
      <w:instrText xml:space="preserve"> NUMPAGES  </w:instrText>
    </w:r>
    <w:r w:rsidRPr="00217B11">
      <w:rPr>
        <w:rFonts w:ascii="Times New Roman" w:hAnsi="Times New Roman"/>
        <w:sz w:val="20"/>
        <w:szCs w:val="20"/>
      </w:rPr>
      <w:fldChar w:fldCharType="separate"/>
    </w:r>
    <w:r w:rsidR="00392E1F">
      <w:rPr>
        <w:rFonts w:ascii="Times New Roman" w:hAnsi="Times New Roman"/>
        <w:noProof/>
        <w:sz w:val="20"/>
        <w:szCs w:val="20"/>
      </w:rPr>
      <w:t>26</w:t>
    </w:r>
    <w:r w:rsidRPr="00217B1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27" w:rsidRDefault="00312027" w:rsidP="00217B11">
      <w:pPr>
        <w:spacing w:after="0" w:line="240" w:lineRule="auto"/>
      </w:pPr>
      <w:r>
        <w:separator/>
      </w:r>
    </w:p>
  </w:footnote>
  <w:footnote w:type="continuationSeparator" w:id="0">
    <w:p w:rsidR="00312027" w:rsidRDefault="00312027" w:rsidP="00217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D63B82"/>
    <w:lvl w:ilvl="0">
      <w:start w:val="1"/>
      <w:numFmt w:val="bullet"/>
      <w:lvlText w:val=""/>
      <w:lvlJc w:val="left"/>
      <w:pPr>
        <w:tabs>
          <w:tab w:val="num" w:pos="360"/>
        </w:tabs>
        <w:ind w:left="360" w:hanging="360"/>
      </w:pPr>
      <w:rPr>
        <w:rFonts w:ascii="Symbol" w:hAnsi="Symbol" w:hint="default"/>
      </w:rPr>
    </w:lvl>
  </w:abstractNum>
  <w:abstractNum w:abstractNumId="1">
    <w:nsid w:val="01606334"/>
    <w:multiLevelType w:val="multilevel"/>
    <w:tmpl w:val="B11AD6B4"/>
    <w:styleLink w:val="StyleBulletedSymbolsymbolLeft051Hanging024"/>
    <w:lvl w:ilvl="0">
      <w:start w:val="1"/>
      <w:numFmt w:val="upperRoman"/>
      <w:lvlText w:val="%1"/>
      <w:lvlJc w:val="left"/>
      <w:pPr>
        <w:tabs>
          <w:tab w:val="num" w:pos="340"/>
        </w:tabs>
        <w:ind w:left="340" w:hanging="340"/>
      </w:pPr>
      <w:rPr>
        <w:rFonts w:ascii="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2B584F"/>
    <w:multiLevelType w:val="multilevel"/>
    <w:tmpl w:val="25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EA1902"/>
    <w:multiLevelType w:val="hybridMultilevel"/>
    <w:tmpl w:val="1BFAA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C7234DE"/>
    <w:multiLevelType w:val="hybridMultilevel"/>
    <w:tmpl w:val="CC7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22DBA"/>
    <w:multiLevelType w:val="hybridMultilevel"/>
    <w:tmpl w:val="FEBAD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A85D8E"/>
    <w:multiLevelType w:val="singleLevel"/>
    <w:tmpl w:val="E7924C64"/>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37931AA"/>
    <w:multiLevelType w:val="hybridMultilevel"/>
    <w:tmpl w:val="219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77405"/>
    <w:multiLevelType w:val="hybridMultilevel"/>
    <w:tmpl w:val="8886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35853"/>
    <w:multiLevelType w:val="hybridMultilevel"/>
    <w:tmpl w:val="D30862D0"/>
    <w:lvl w:ilvl="0" w:tplc="7E02813A">
      <w:start w:val="1"/>
      <w:numFmt w:val="decimal"/>
      <w:lvlText w:val="%1."/>
      <w:lvlJc w:val="left"/>
      <w:pPr>
        <w:ind w:left="1440" w:hanging="360"/>
      </w:pPr>
      <w:rPr>
        <w:rFonts w:ascii="Times New Roman" w:hAnsi="Times New Roman" w:cs="Times New Roman" w:hint="default"/>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3EA46EE2">
      <w:start w:val="1"/>
      <w:numFmt w:val="upperRoman"/>
      <w:lvlText w:val="%5."/>
      <w:lvlJc w:val="left"/>
      <w:pPr>
        <w:ind w:left="4680" w:hanging="72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A864011"/>
    <w:multiLevelType w:val="singleLevel"/>
    <w:tmpl w:val="D6F64320"/>
    <w:lvl w:ilvl="0">
      <w:start w:val="1"/>
      <w:numFmt w:val="decimal"/>
      <w:lvlText w:val="%1)"/>
      <w:lvlJc w:val="left"/>
      <w:pPr>
        <w:ind w:left="360" w:hanging="360"/>
      </w:pPr>
      <w:rPr>
        <w:rFonts w:ascii="Times New Roman" w:hAnsi="Times New Roman" w:cs="Times New Roman" w:hint="default"/>
        <w:b w:val="0"/>
        <w:color w:val="auto"/>
        <w:sz w:val="22"/>
        <w:szCs w:val="22"/>
      </w:rPr>
    </w:lvl>
  </w:abstractNum>
  <w:abstractNum w:abstractNumId="11">
    <w:nsid w:val="1DF03C8F"/>
    <w:multiLevelType w:val="singleLevel"/>
    <w:tmpl w:val="DB7CA7A0"/>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22CB00B1"/>
    <w:multiLevelType w:val="singleLevel"/>
    <w:tmpl w:val="ABE894A0"/>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22FC62D7"/>
    <w:multiLevelType w:val="singleLevel"/>
    <w:tmpl w:val="B7E45F94"/>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2B4356FB"/>
    <w:multiLevelType w:val="hybridMultilevel"/>
    <w:tmpl w:val="6A08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81201"/>
    <w:multiLevelType w:val="hybridMultilevel"/>
    <w:tmpl w:val="C66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A1130"/>
    <w:multiLevelType w:val="hybridMultilevel"/>
    <w:tmpl w:val="25C4261E"/>
    <w:lvl w:ilvl="0" w:tplc="DEC6D044">
      <w:start w:val="1"/>
      <w:numFmt w:val="upperRoman"/>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EDAEC3B2">
      <w:start w:val="1"/>
      <w:numFmt w:val="decimal"/>
      <w:lvlText w:val="%7)"/>
      <w:lvlJc w:val="left"/>
      <w:pPr>
        <w:ind w:left="4680" w:hanging="360"/>
      </w:pPr>
      <w:rPr>
        <w:rFonts w:cs="Times New Roman" w:hint="default"/>
      </w:rPr>
    </w:lvl>
    <w:lvl w:ilvl="7" w:tplc="A75AA426">
      <w:start w:val="1"/>
      <w:numFmt w:val="lowerLetter"/>
      <w:lvlText w:val="%8)"/>
      <w:lvlJc w:val="left"/>
      <w:pPr>
        <w:ind w:left="5400" w:hanging="360"/>
      </w:pPr>
      <w:rPr>
        <w:rFonts w:cs="Times New Roman" w:hint="default"/>
        <w:color w:val="auto"/>
      </w:rPr>
    </w:lvl>
    <w:lvl w:ilvl="8" w:tplc="0409001B" w:tentative="1">
      <w:start w:val="1"/>
      <w:numFmt w:val="lowerRoman"/>
      <w:lvlText w:val="%9."/>
      <w:lvlJc w:val="right"/>
      <w:pPr>
        <w:ind w:left="6120" w:hanging="180"/>
      </w:pPr>
      <w:rPr>
        <w:rFonts w:cs="Times New Roman"/>
      </w:rPr>
    </w:lvl>
  </w:abstractNum>
  <w:abstractNum w:abstractNumId="17">
    <w:nsid w:val="2FAE55B3"/>
    <w:multiLevelType w:val="singleLevel"/>
    <w:tmpl w:val="B11AD6B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31E85173"/>
    <w:multiLevelType w:val="singleLevel"/>
    <w:tmpl w:val="B60EC880"/>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347F3B9C"/>
    <w:multiLevelType w:val="hybridMultilevel"/>
    <w:tmpl w:val="44C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14B13"/>
    <w:multiLevelType w:val="singleLevel"/>
    <w:tmpl w:val="25162AE2"/>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38A1336F"/>
    <w:multiLevelType w:val="singleLevel"/>
    <w:tmpl w:val="41966B30"/>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38EE53E6"/>
    <w:multiLevelType w:val="singleLevel"/>
    <w:tmpl w:val="9E1890E6"/>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3BDC389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02044A5"/>
    <w:multiLevelType w:val="hybridMultilevel"/>
    <w:tmpl w:val="3262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5635"/>
    <w:multiLevelType w:val="multilevel"/>
    <w:tmpl w:val="F1B0B220"/>
    <w:lvl w:ilvl="0">
      <w:start w:val="1"/>
      <w:numFmt w:val="decimal"/>
      <w:lvlText w:val="%1."/>
      <w:lvlJc w:val="left"/>
      <w:pPr>
        <w:tabs>
          <w:tab w:val="num" w:pos="1400"/>
        </w:tabs>
        <w:ind w:left="1400" w:hanging="340"/>
      </w:pPr>
      <w:rPr>
        <w:rFonts w:cs="Times New Roman" w:hint="default"/>
      </w:rPr>
    </w:lvl>
    <w:lvl w:ilvl="1">
      <w:start w:val="1"/>
      <w:numFmt w:val="bullet"/>
      <w:lvlText w:val=""/>
      <w:lvlJc w:val="left"/>
      <w:pPr>
        <w:tabs>
          <w:tab w:val="num" w:pos="1740"/>
        </w:tabs>
        <w:ind w:left="1740" w:hanging="340"/>
      </w:pPr>
      <w:rPr>
        <w:rFonts w:ascii="Symbol" w:hAnsi="Symbol" w:hint="default"/>
        <w:sz w:val="22"/>
      </w:rPr>
    </w:lvl>
    <w:lvl w:ilvl="2">
      <w:start w:val="1"/>
      <w:numFmt w:val="bullet"/>
      <w:lvlText w:val="-"/>
      <w:lvlJc w:val="left"/>
      <w:pPr>
        <w:tabs>
          <w:tab w:val="num" w:pos="2080"/>
        </w:tabs>
        <w:ind w:left="2080" w:hanging="340"/>
      </w:pPr>
      <w:rPr>
        <w:rFonts w:ascii="9999999" w:hAnsi="9999999" w:hint="default"/>
      </w:rPr>
    </w:lvl>
    <w:lvl w:ilvl="3">
      <w:start w:val="1"/>
      <w:numFmt w:val="bullet"/>
      <w:lvlText w:val=""/>
      <w:lvlJc w:val="left"/>
      <w:pPr>
        <w:tabs>
          <w:tab w:val="num" w:pos="2421"/>
        </w:tabs>
        <w:ind w:left="2421" w:hanging="341"/>
      </w:pPr>
      <w:rPr>
        <w:rFonts w:ascii="Symbol" w:hAnsi="Symbol" w:hint="default"/>
        <w:sz w:val="22"/>
      </w:rPr>
    </w:lvl>
    <w:lvl w:ilvl="4">
      <w:start w:val="1"/>
      <w:numFmt w:val="bullet"/>
      <w:lvlText w:val=""/>
      <w:lvlJc w:val="left"/>
      <w:pPr>
        <w:tabs>
          <w:tab w:val="num" w:pos="2761"/>
        </w:tabs>
        <w:ind w:left="2761" w:hanging="340"/>
      </w:pPr>
      <w:rPr>
        <w:rFonts w:ascii="Symbol" w:hAnsi="Symbol" w:hint="default"/>
      </w:rPr>
    </w:lvl>
    <w:lvl w:ilvl="5">
      <w:start w:val="1"/>
      <w:numFmt w:val="bullet"/>
      <w:lvlText w:val=""/>
      <w:lvlJc w:val="left"/>
      <w:pPr>
        <w:tabs>
          <w:tab w:val="num" w:pos="3101"/>
        </w:tabs>
        <w:ind w:left="3101" w:hanging="340"/>
      </w:pPr>
      <w:rPr>
        <w:rFonts w:ascii="Wingdings" w:hAnsi="Wingdings" w:hint="default"/>
      </w:rPr>
    </w:lvl>
    <w:lvl w:ilvl="6">
      <w:start w:val="1"/>
      <w:numFmt w:val="bullet"/>
      <w:lvlText w:val=""/>
      <w:lvlJc w:val="left"/>
      <w:pPr>
        <w:tabs>
          <w:tab w:val="num" w:pos="3441"/>
        </w:tabs>
        <w:ind w:left="3441" w:hanging="340"/>
      </w:pPr>
      <w:rPr>
        <w:rFonts w:ascii="Wingdings" w:hAnsi="Wingdings" w:hint="default"/>
      </w:rPr>
    </w:lvl>
    <w:lvl w:ilvl="7">
      <w:start w:val="1"/>
      <w:numFmt w:val="bullet"/>
      <w:lvlText w:val=""/>
      <w:lvlJc w:val="left"/>
      <w:pPr>
        <w:tabs>
          <w:tab w:val="num" w:pos="3781"/>
        </w:tabs>
        <w:ind w:left="3781" w:hanging="340"/>
      </w:pPr>
      <w:rPr>
        <w:rFonts w:ascii="Symbol" w:hAnsi="Symbol" w:hint="default"/>
      </w:rPr>
    </w:lvl>
    <w:lvl w:ilvl="8">
      <w:start w:val="1"/>
      <w:numFmt w:val="bullet"/>
      <w:lvlText w:val=""/>
      <w:lvlJc w:val="left"/>
      <w:pPr>
        <w:tabs>
          <w:tab w:val="num" w:pos="4121"/>
        </w:tabs>
        <w:ind w:left="4121" w:hanging="340"/>
      </w:pPr>
      <w:rPr>
        <w:rFonts w:ascii="Symbol" w:hAnsi="Symbol" w:hint="default"/>
      </w:rPr>
    </w:lvl>
  </w:abstractNum>
  <w:abstractNum w:abstractNumId="26">
    <w:nsid w:val="4D197696"/>
    <w:multiLevelType w:val="hybridMultilevel"/>
    <w:tmpl w:val="4D02A57A"/>
    <w:lvl w:ilvl="0" w:tplc="AE18668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768677B"/>
    <w:multiLevelType w:val="hybridMultilevel"/>
    <w:tmpl w:val="456E1F1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7AA4B1F"/>
    <w:multiLevelType w:val="hybridMultilevel"/>
    <w:tmpl w:val="65AC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B7968"/>
    <w:multiLevelType w:val="multilevel"/>
    <w:tmpl w:val="B5D4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558C0"/>
    <w:multiLevelType w:val="singleLevel"/>
    <w:tmpl w:val="04628B34"/>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61387ED8"/>
    <w:multiLevelType w:val="hybridMultilevel"/>
    <w:tmpl w:val="E488DC7C"/>
    <w:lvl w:ilvl="0" w:tplc="E0F6C4F8">
      <w:start w:val="1"/>
      <w:numFmt w:val="upperRoman"/>
      <w:lvlText w:val="%1."/>
      <w:lvlJc w:val="left"/>
      <w:pPr>
        <w:ind w:left="1080" w:hanging="720"/>
      </w:pPr>
      <w:rPr>
        <w:rFonts w:ascii="Times New Roman" w:eastAsia="Calibri" w:hAnsi="Times New Roman" w:cs="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636FB"/>
    <w:multiLevelType w:val="singleLevel"/>
    <w:tmpl w:val="6D06FC82"/>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694C67AE"/>
    <w:multiLevelType w:val="hybridMultilevel"/>
    <w:tmpl w:val="BCF2332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BC0A41A2">
      <w:start w:val="1"/>
      <w:numFmt w:val="upp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A2D037A"/>
    <w:multiLevelType w:val="hybridMultilevel"/>
    <w:tmpl w:val="2960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41AFA"/>
    <w:multiLevelType w:val="hybridMultilevel"/>
    <w:tmpl w:val="8914603E"/>
    <w:lvl w:ilvl="0" w:tplc="ACF48662">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4E13FE"/>
    <w:multiLevelType w:val="multilevel"/>
    <w:tmpl w:val="B11AD6B4"/>
    <w:numStyleLink w:val="StyleBulletedSymbolsymbolLeft051Hanging024"/>
  </w:abstractNum>
  <w:abstractNum w:abstractNumId="37">
    <w:nsid w:val="719F40D2"/>
    <w:multiLevelType w:val="hybridMultilevel"/>
    <w:tmpl w:val="414A3282"/>
    <w:lvl w:ilvl="0" w:tplc="AE18668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20F786B"/>
    <w:multiLevelType w:val="multilevel"/>
    <w:tmpl w:val="B0C279F0"/>
    <w:lvl w:ilvl="0">
      <w:start w:val="1"/>
      <w:numFmt w:val="upperRoman"/>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nsid w:val="75B459C0"/>
    <w:multiLevelType w:val="hybridMultilevel"/>
    <w:tmpl w:val="AF8E7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12531"/>
    <w:multiLevelType w:val="singleLevel"/>
    <w:tmpl w:val="CA747BE8"/>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7D044542"/>
    <w:multiLevelType w:val="multilevel"/>
    <w:tmpl w:val="B11AD6B4"/>
    <w:numStyleLink w:val="StyleBulletedSymbolsymbolLeft051Hanging024"/>
  </w:abstractNum>
  <w:abstractNum w:abstractNumId="42">
    <w:nsid w:val="7EC92F91"/>
    <w:multiLevelType w:val="hybridMultilevel"/>
    <w:tmpl w:val="ED4E5F5A"/>
    <w:lvl w:ilvl="0" w:tplc="AE18668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6"/>
  </w:num>
  <w:num w:numId="5">
    <w:abstractNumId w:val="2"/>
  </w:num>
  <w:num w:numId="6">
    <w:abstractNumId w:val="8"/>
  </w:num>
  <w:num w:numId="7">
    <w:abstractNumId w:val="4"/>
  </w:num>
  <w:num w:numId="8">
    <w:abstractNumId w:val="35"/>
  </w:num>
  <w:num w:numId="9">
    <w:abstractNumId w:val="28"/>
  </w:num>
  <w:num w:numId="10">
    <w:abstractNumId w:val="7"/>
  </w:num>
  <w:num w:numId="11">
    <w:abstractNumId w:val="29"/>
  </w:num>
  <w:num w:numId="12">
    <w:abstractNumId w:val="18"/>
  </w:num>
  <w:num w:numId="13">
    <w:abstractNumId w:val="32"/>
  </w:num>
  <w:num w:numId="14">
    <w:abstractNumId w:val="10"/>
  </w:num>
  <w:num w:numId="15">
    <w:abstractNumId w:val="33"/>
  </w:num>
  <w:num w:numId="16">
    <w:abstractNumId w:val="6"/>
  </w:num>
  <w:num w:numId="17">
    <w:abstractNumId w:val="13"/>
  </w:num>
  <w:num w:numId="18">
    <w:abstractNumId w:val="17"/>
  </w:num>
  <w:num w:numId="19">
    <w:abstractNumId w:val="40"/>
  </w:num>
  <w:num w:numId="20">
    <w:abstractNumId w:val="11"/>
  </w:num>
  <w:num w:numId="21">
    <w:abstractNumId w:val="30"/>
  </w:num>
  <w:num w:numId="22">
    <w:abstractNumId w:val="12"/>
  </w:num>
  <w:num w:numId="23">
    <w:abstractNumId w:val="22"/>
  </w:num>
  <w:num w:numId="24">
    <w:abstractNumId w:val="20"/>
  </w:num>
  <w:num w:numId="25">
    <w:abstractNumId w:val="21"/>
  </w:num>
  <w:num w:numId="26">
    <w:abstractNumId w:val="39"/>
  </w:num>
  <w:num w:numId="27">
    <w:abstractNumId w:val="14"/>
  </w:num>
  <w:num w:numId="28">
    <w:abstractNumId w:val="27"/>
  </w:num>
  <w:num w:numId="29">
    <w:abstractNumId w:val="19"/>
  </w:num>
  <w:num w:numId="30">
    <w:abstractNumId w:val="15"/>
  </w:num>
  <w:num w:numId="31">
    <w:abstractNumId w:val="25"/>
  </w:num>
  <w:num w:numId="32">
    <w:abstractNumId w:val="9"/>
  </w:num>
  <w:num w:numId="33">
    <w:abstractNumId w:val="5"/>
  </w:num>
  <w:num w:numId="34">
    <w:abstractNumId w:val="24"/>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4"/>
  </w:num>
  <w:num w:numId="41">
    <w:abstractNumId w:val="38"/>
  </w:num>
  <w:num w:numId="42">
    <w:abstractNumId w:val="31"/>
  </w:num>
  <w:num w:numId="43">
    <w:abstractNumId w:val="1"/>
  </w:num>
  <w:num w:numId="44">
    <w:abstractNumId w:val="41"/>
  </w:num>
  <w:num w:numId="45">
    <w:abstractNumId w:val="36"/>
  </w:num>
  <w:num w:numId="46">
    <w:abstractNumId w:val="42"/>
  </w:num>
  <w:num w:numId="47">
    <w:abstractNumId w:val="3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Coulson">
    <w15:presenceInfo w15:providerId="AD" w15:userId="S-1-5-21-47004476-755518665-292424712-199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ED"/>
    <w:rsid w:val="00001194"/>
    <w:rsid w:val="000033E5"/>
    <w:rsid w:val="0000410B"/>
    <w:rsid w:val="00006DFE"/>
    <w:rsid w:val="0000753C"/>
    <w:rsid w:val="00007CEC"/>
    <w:rsid w:val="00014223"/>
    <w:rsid w:val="00014E06"/>
    <w:rsid w:val="000152F1"/>
    <w:rsid w:val="000156F7"/>
    <w:rsid w:val="00022E0C"/>
    <w:rsid w:val="000235BD"/>
    <w:rsid w:val="0002483B"/>
    <w:rsid w:val="00027CD8"/>
    <w:rsid w:val="0003151C"/>
    <w:rsid w:val="00033C51"/>
    <w:rsid w:val="00043B66"/>
    <w:rsid w:val="000522E8"/>
    <w:rsid w:val="00052B9A"/>
    <w:rsid w:val="0005588B"/>
    <w:rsid w:val="00061C18"/>
    <w:rsid w:val="00065BE8"/>
    <w:rsid w:val="0006661F"/>
    <w:rsid w:val="00070C59"/>
    <w:rsid w:val="00070E12"/>
    <w:rsid w:val="0007156A"/>
    <w:rsid w:val="00072888"/>
    <w:rsid w:val="00072939"/>
    <w:rsid w:val="0007575F"/>
    <w:rsid w:val="00077001"/>
    <w:rsid w:val="00082445"/>
    <w:rsid w:val="00082CF5"/>
    <w:rsid w:val="00083A99"/>
    <w:rsid w:val="000846E9"/>
    <w:rsid w:val="00086189"/>
    <w:rsid w:val="000868B7"/>
    <w:rsid w:val="00090E43"/>
    <w:rsid w:val="0009187F"/>
    <w:rsid w:val="00091F45"/>
    <w:rsid w:val="000920D0"/>
    <w:rsid w:val="00093F97"/>
    <w:rsid w:val="00096383"/>
    <w:rsid w:val="000978D8"/>
    <w:rsid w:val="000A24A7"/>
    <w:rsid w:val="000B382E"/>
    <w:rsid w:val="000B4F51"/>
    <w:rsid w:val="000B5ECC"/>
    <w:rsid w:val="000B6736"/>
    <w:rsid w:val="000B6C99"/>
    <w:rsid w:val="000C141E"/>
    <w:rsid w:val="000C1741"/>
    <w:rsid w:val="000D2BBB"/>
    <w:rsid w:val="000D2CF9"/>
    <w:rsid w:val="000E073B"/>
    <w:rsid w:val="000E6C30"/>
    <w:rsid w:val="000F0194"/>
    <w:rsid w:val="000F3AF5"/>
    <w:rsid w:val="000F5578"/>
    <w:rsid w:val="000F5EF9"/>
    <w:rsid w:val="000F6DFE"/>
    <w:rsid w:val="00101BF6"/>
    <w:rsid w:val="00102615"/>
    <w:rsid w:val="001059AA"/>
    <w:rsid w:val="00115872"/>
    <w:rsid w:val="00117AC7"/>
    <w:rsid w:val="00122DD4"/>
    <w:rsid w:val="00123B38"/>
    <w:rsid w:val="001248D9"/>
    <w:rsid w:val="00132679"/>
    <w:rsid w:val="00132E96"/>
    <w:rsid w:val="00133EF4"/>
    <w:rsid w:val="00135DFF"/>
    <w:rsid w:val="00140BF0"/>
    <w:rsid w:val="00141CD9"/>
    <w:rsid w:val="001426DF"/>
    <w:rsid w:val="00142C40"/>
    <w:rsid w:val="00144430"/>
    <w:rsid w:val="00150338"/>
    <w:rsid w:val="00150D7C"/>
    <w:rsid w:val="00151FD1"/>
    <w:rsid w:val="00153483"/>
    <w:rsid w:val="001539E4"/>
    <w:rsid w:val="00170709"/>
    <w:rsid w:val="0017253A"/>
    <w:rsid w:val="001750DA"/>
    <w:rsid w:val="00177EE8"/>
    <w:rsid w:val="0018303B"/>
    <w:rsid w:val="00185902"/>
    <w:rsid w:val="00193EAE"/>
    <w:rsid w:val="001969AE"/>
    <w:rsid w:val="00196E75"/>
    <w:rsid w:val="001A04D2"/>
    <w:rsid w:val="001A0A20"/>
    <w:rsid w:val="001A2651"/>
    <w:rsid w:val="001A4573"/>
    <w:rsid w:val="001A63CD"/>
    <w:rsid w:val="001A781A"/>
    <w:rsid w:val="001A7889"/>
    <w:rsid w:val="001B0394"/>
    <w:rsid w:val="001B0D1B"/>
    <w:rsid w:val="001B0FB9"/>
    <w:rsid w:val="001B13A0"/>
    <w:rsid w:val="001B490A"/>
    <w:rsid w:val="001B797D"/>
    <w:rsid w:val="001C07E1"/>
    <w:rsid w:val="001C293D"/>
    <w:rsid w:val="001C4890"/>
    <w:rsid w:val="001C5A9E"/>
    <w:rsid w:val="001D3AC1"/>
    <w:rsid w:val="001E04D1"/>
    <w:rsid w:val="001E0DB3"/>
    <w:rsid w:val="001E29C7"/>
    <w:rsid w:val="001E36DA"/>
    <w:rsid w:val="001E520F"/>
    <w:rsid w:val="001F1970"/>
    <w:rsid w:val="001F4942"/>
    <w:rsid w:val="001F4F98"/>
    <w:rsid w:val="001F6D76"/>
    <w:rsid w:val="001F6FFE"/>
    <w:rsid w:val="001F7DFE"/>
    <w:rsid w:val="0020376A"/>
    <w:rsid w:val="00212ED9"/>
    <w:rsid w:val="00215E7F"/>
    <w:rsid w:val="00216736"/>
    <w:rsid w:val="00217801"/>
    <w:rsid w:val="00217B11"/>
    <w:rsid w:val="00220F40"/>
    <w:rsid w:val="0022538F"/>
    <w:rsid w:val="002320CB"/>
    <w:rsid w:val="0023338A"/>
    <w:rsid w:val="00233F6C"/>
    <w:rsid w:val="002350B2"/>
    <w:rsid w:val="00236EBE"/>
    <w:rsid w:val="00237D4A"/>
    <w:rsid w:val="002400B1"/>
    <w:rsid w:val="002410C1"/>
    <w:rsid w:val="00242968"/>
    <w:rsid w:val="002437B6"/>
    <w:rsid w:val="00243858"/>
    <w:rsid w:val="00243BA9"/>
    <w:rsid w:val="00253DB7"/>
    <w:rsid w:val="0025562A"/>
    <w:rsid w:val="00255E20"/>
    <w:rsid w:val="00257336"/>
    <w:rsid w:val="002609AD"/>
    <w:rsid w:val="002615E3"/>
    <w:rsid w:val="00266E74"/>
    <w:rsid w:val="0026737D"/>
    <w:rsid w:val="002673BE"/>
    <w:rsid w:val="00273716"/>
    <w:rsid w:val="00274408"/>
    <w:rsid w:val="00275625"/>
    <w:rsid w:val="0027581A"/>
    <w:rsid w:val="00276EE2"/>
    <w:rsid w:val="002810D7"/>
    <w:rsid w:val="00282CBD"/>
    <w:rsid w:val="0028304A"/>
    <w:rsid w:val="00285BB2"/>
    <w:rsid w:val="00292F96"/>
    <w:rsid w:val="002942B8"/>
    <w:rsid w:val="00294AF5"/>
    <w:rsid w:val="00295FF5"/>
    <w:rsid w:val="002A0183"/>
    <w:rsid w:val="002A2E28"/>
    <w:rsid w:val="002A2EEE"/>
    <w:rsid w:val="002A5FC7"/>
    <w:rsid w:val="002A7C45"/>
    <w:rsid w:val="002B179E"/>
    <w:rsid w:val="002B7006"/>
    <w:rsid w:val="002C0AD1"/>
    <w:rsid w:val="002C1985"/>
    <w:rsid w:val="002C1B06"/>
    <w:rsid w:val="002C217C"/>
    <w:rsid w:val="002C44BE"/>
    <w:rsid w:val="002D27E9"/>
    <w:rsid w:val="002D3BCB"/>
    <w:rsid w:val="002D47E1"/>
    <w:rsid w:val="002D7C04"/>
    <w:rsid w:val="002E0280"/>
    <w:rsid w:val="002E07C9"/>
    <w:rsid w:val="002E0A5C"/>
    <w:rsid w:val="002E346C"/>
    <w:rsid w:val="002E426F"/>
    <w:rsid w:val="002E4B70"/>
    <w:rsid w:val="002E5F0B"/>
    <w:rsid w:val="002E7BC2"/>
    <w:rsid w:val="002F243D"/>
    <w:rsid w:val="002F525A"/>
    <w:rsid w:val="002F6B5F"/>
    <w:rsid w:val="002F7385"/>
    <w:rsid w:val="002F7CAF"/>
    <w:rsid w:val="00300789"/>
    <w:rsid w:val="003012EF"/>
    <w:rsid w:val="003025E9"/>
    <w:rsid w:val="00305AD8"/>
    <w:rsid w:val="003066E5"/>
    <w:rsid w:val="003077B8"/>
    <w:rsid w:val="00310E4E"/>
    <w:rsid w:val="00311797"/>
    <w:rsid w:val="00312027"/>
    <w:rsid w:val="003137E0"/>
    <w:rsid w:val="0031573E"/>
    <w:rsid w:val="00322EB0"/>
    <w:rsid w:val="00324FA4"/>
    <w:rsid w:val="00325555"/>
    <w:rsid w:val="00326A08"/>
    <w:rsid w:val="00332F44"/>
    <w:rsid w:val="00333937"/>
    <w:rsid w:val="00333D2D"/>
    <w:rsid w:val="00334BE2"/>
    <w:rsid w:val="00335CEA"/>
    <w:rsid w:val="003367ED"/>
    <w:rsid w:val="003405A6"/>
    <w:rsid w:val="00343C37"/>
    <w:rsid w:val="00350710"/>
    <w:rsid w:val="003507AE"/>
    <w:rsid w:val="00353330"/>
    <w:rsid w:val="0036056A"/>
    <w:rsid w:val="0036179E"/>
    <w:rsid w:val="00365FDE"/>
    <w:rsid w:val="00365FFF"/>
    <w:rsid w:val="00366029"/>
    <w:rsid w:val="00366CA0"/>
    <w:rsid w:val="00371A9B"/>
    <w:rsid w:val="0037382D"/>
    <w:rsid w:val="00373BD1"/>
    <w:rsid w:val="00374AE1"/>
    <w:rsid w:val="00377A1A"/>
    <w:rsid w:val="00377C5C"/>
    <w:rsid w:val="00377FB6"/>
    <w:rsid w:val="003816A0"/>
    <w:rsid w:val="00384419"/>
    <w:rsid w:val="00386021"/>
    <w:rsid w:val="00390463"/>
    <w:rsid w:val="0039078E"/>
    <w:rsid w:val="00390956"/>
    <w:rsid w:val="003912FB"/>
    <w:rsid w:val="00392E1F"/>
    <w:rsid w:val="00394C2F"/>
    <w:rsid w:val="003952B5"/>
    <w:rsid w:val="003956C3"/>
    <w:rsid w:val="00395B2F"/>
    <w:rsid w:val="003971D9"/>
    <w:rsid w:val="003A0FC3"/>
    <w:rsid w:val="003A149C"/>
    <w:rsid w:val="003A2389"/>
    <w:rsid w:val="003A542E"/>
    <w:rsid w:val="003A63CB"/>
    <w:rsid w:val="003B13AF"/>
    <w:rsid w:val="003B141C"/>
    <w:rsid w:val="003B1926"/>
    <w:rsid w:val="003B1A19"/>
    <w:rsid w:val="003B2438"/>
    <w:rsid w:val="003B30BC"/>
    <w:rsid w:val="003B3AC6"/>
    <w:rsid w:val="003B755F"/>
    <w:rsid w:val="003C31D9"/>
    <w:rsid w:val="003C57F5"/>
    <w:rsid w:val="003C7298"/>
    <w:rsid w:val="003D2BF9"/>
    <w:rsid w:val="003D38DF"/>
    <w:rsid w:val="003D4ABA"/>
    <w:rsid w:val="003D71CC"/>
    <w:rsid w:val="003E110D"/>
    <w:rsid w:val="003E17F4"/>
    <w:rsid w:val="003E2AF4"/>
    <w:rsid w:val="003E3258"/>
    <w:rsid w:val="003E42D2"/>
    <w:rsid w:val="003E7C22"/>
    <w:rsid w:val="003F02CD"/>
    <w:rsid w:val="003F0456"/>
    <w:rsid w:val="003F3053"/>
    <w:rsid w:val="003F4A00"/>
    <w:rsid w:val="003F7E3F"/>
    <w:rsid w:val="00400B86"/>
    <w:rsid w:val="00401209"/>
    <w:rsid w:val="00403A44"/>
    <w:rsid w:val="00404D10"/>
    <w:rsid w:val="00406A57"/>
    <w:rsid w:val="00411C69"/>
    <w:rsid w:val="0041426B"/>
    <w:rsid w:val="00423900"/>
    <w:rsid w:val="00425613"/>
    <w:rsid w:val="00427284"/>
    <w:rsid w:val="00427638"/>
    <w:rsid w:val="004318AD"/>
    <w:rsid w:val="00432C9F"/>
    <w:rsid w:val="004372C2"/>
    <w:rsid w:val="00437ADF"/>
    <w:rsid w:val="004425BD"/>
    <w:rsid w:val="00443141"/>
    <w:rsid w:val="00443F08"/>
    <w:rsid w:val="0044436B"/>
    <w:rsid w:val="00452D5E"/>
    <w:rsid w:val="00453336"/>
    <w:rsid w:val="0045767E"/>
    <w:rsid w:val="004621D6"/>
    <w:rsid w:val="004667EB"/>
    <w:rsid w:val="0047101D"/>
    <w:rsid w:val="004722FB"/>
    <w:rsid w:val="004724CD"/>
    <w:rsid w:val="00474C67"/>
    <w:rsid w:val="004763A0"/>
    <w:rsid w:val="0048101A"/>
    <w:rsid w:val="004814B0"/>
    <w:rsid w:val="0048502A"/>
    <w:rsid w:val="004852D4"/>
    <w:rsid w:val="004859D1"/>
    <w:rsid w:val="0048745D"/>
    <w:rsid w:val="0049382B"/>
    <w:rsid w:val="00495907"/>
    <w:rsid w:val="004A2634"/>
    <w:rsid w:val="004A30FF"/>
    <w:rsid w:val="004A44BA"/>
    <w:rsid w:val="004A4D1E"/>
    <w:rsid w:val="004A5084"/>
    <w:rsid w:val="004B0630"/>
    <w:rsid w:val="004B0B65"/>
    <w:rsid w:val="004B1282"/>
    <w:rsid w:val="004B2203"/>
    <w:rsid w:val="004B2A6C"/>
    <w:rsid w:val="004C2E8C"/>
    <w:rsid w:val="004C41E1"/>
    <w:rsid w:val="004C5FE1"/>
    <w:rsid w:val="004C62FF"/>
    <w:rsid w:val="004D20A5"/>
    <w:rsid w:val="004D21F7"/>
    <w:rsid w:val="004D3B91"/>
    <w:rsid w:val="004D4E7B"/>
    <w:rsid w:val="004D5220"/>
    <w:rsid w:val="004E113F"/>
    <w:rsid w:val="004E23BE"/>
    <w:rsid w:val="004E65D4"/>
    <w:rsid w:val="004E7A0B"/>
    <w:rsid w:val="004F0D0A"/>
    <w:rsid w:val="004F3607"/>
    <w:rsid w:val="004F4862"/>
    <w:rsid w:val="004F5D55"/>
    <w:rsid w:val="004F6C9A"/>
    <w:rsid w:val="00500F05"/>
    <w:rsid w:val="0050367F"/>
    <w:rsid w:val="00503D42"/>
    <w:rsid w:val="005074B6"/>
    <w:rsid w:val="00510AF2"/>
    <w:rsid w:val="0051115B"/>
    <w:rsid w:val="005222F0"/>
    <w:rsid w:val="00525B25"/>
    <w:rsid w:val="00527F3E"/>
    <w:rsid w:val="005301E0"/>
    <w:rsid w:val="00531787"/>
    <w:rsid w:val="00531D85"/>
    <w:rsid w:val="00534613"/>
    <w:rsid w:val="00534EDF"/>
    <w:rsid w:val="00536F3E"/>
    <w:rsid w:val="00541720"/>
    <w:rsid w:val="00541DED"/>
    <w:rsid w:val="00542D73"/>
    <w:rsid w:val="0054599B"/>
    <w:rsid w:val="00553637"/>
    <w:rsid w:val="00554921"/>
    <w:rsid w:val="00557B16"/>
    <w:rsid w:val="00561AA6"/>
    <w:rsid w:val="00562143"/>
    <w:rsid w:val="0056275C"/>
    <w:rsid w:val="00563392"/>
    <w:rsid w:val="00563A58"/>
    <w:rsid w:val="00563D10"/>
    <w:rsid w:val="00571029"/>
    <w:rsid w:val="005721B7"/>
    <w:rsid w:val="00575A03"/>
    <w:rsid w:val="00576EE4"/>
    <w:rsid w:val="005770CC"/>
    <w:rsid w:val="005771F5"/>
    <w:rsid w:val="00582B0E"/>
    <w:rsid w:val="00583FBD"/>
    <w:rsid w:val="0058641C"/>
    <w:rsid w:val="00590ABC"/>
    <w:rsid w:val="00591124"/>
    <w:rsid w:val="00594664"/>
    <w:rsid w:val="00595055"/>
    <w:rsid w:val="00595C10"/>
    <w:rsid w:val="005964CA"/>
    <w:rsid w:val="005A265D"/>
    <w:rsid w:val="005A67F4"/>
    <w:rsid w:val="005A7E9C"/>
    <w:rsid w:val="005B032C"/>
    <w:rsid w:val="005B0987"/>
    <w:rsid w:val="005B1ACB"/>
    <w:rsid w:val="005B1CC7"/>
    <w:rsid w:val="005B60A1"/>
    <w:rsid w:val="005B64E0"/>
    <w:rsid w:val="005D1689"/>
    <w:rsid w:val="005D37B8"/>
    <w:rsid w:val="005D58C9"/>
    <w:rsid w:val="005E49CE"/>
    <w:rsid w:val="005E52C7"/>
    <w:rsid w:val="005F08A5"/>
    <w:rsid w:val="005F0D4A"/>
    <w:rsid w:val="005F3E0A"/>
    <w:rsid w:val="005F700D"/>
    <w:rsid w:val="005F722F"/>
    <w:rsid w:val="005F7ED8"/>
    <w:rsid w:val="00605728"/>
    <w:rsid w:val="00615C9F"/>
    <w:rsid w:val="00620482"/>
    <w:rsid w:val="00620D35"/>
    <w:rsid w:val="006228CC"/>
    <w:rsid w:val="00622EFF"/>
    <w:rsid w:val="0063104A"/>
    <w:rsid w:val="00633FBB"/>
    <w:rsid w:val="006352FA"/>
    <w:rsid w:val="00637560"/>
    <w:rsid w:val="00637680"/>
    <w:rsid w:val="00642F42"/>
    <w:rsid w:val="00645379"/>
    <w:rsid w:val="00645A4D"/>
    <w:rsid w:val="00647BA6"/>
    <w:rsid w:val="00650292"/>
    <w:rsid w:val="00651DBA"/>
    <w:rsid w:val="00652E59"/>
    <w:rsid w:val="00653128"/>
    <w:rsid w:val="006536B1"/>
    <w:rsid w:val="00653C6F"/>
    <w:rsid w:val="00654E58"/>
    <w:rsid w:val="00655240"/>
    <w:rsid w:val="0065587C"/>
    <w:rsid w:val="00656C02"/>
    <w:rsid w:val="00657060"/>
    <w:rsid w:val="00662030"/>
    <w:rsid w:val="00663AAC"/>
    <w:rsid w:val="00670007"/>
    <w:rsid w:val="00676468"/>
    <w:rsid w:val="006829D8"/>
    <w:rsid w:val="00683A65"/>
    <w:rsid w:val="00683AA3"/>
    <w:rsid w:val="006842B4"/>
    <w:rsid w:val="00685EE7"/>
    <w:rsid w:val="006864F6"/>
    <w:rsid w:val="0068696E"/>
    <w:rsid w:val="006876BD"/>
    <w:rsid w:val="0069139F"/>
    <w:rsid w:val="0069268A"/>
    <w:rsid w:val="0069468D"/>
    <w:rsid w:val="006A44AE"/>
    <w:rsid w:val="006B13AE"/>
    <w:rsid w:val="006B1429"/>
    <w:rsid w:val="006B2186"/>
    <w:rsid w:val="006B7BE0"/>
    <w:rsid w:val="006C24F3"/>
    <w:rsid w:val="006C55B2"/>
    <w:rsid w:val="006C5E9B"/>
    <w:rsid w:val="006C7F1F"/>
    <w:rsid w:val="006D08D8"/>
    <w:rsid w:val="006D18A8"/>
    <w:rsid w:val="006D1A00"/>
    <w:rsid w:val="006D20B9"/>
    <w:rsid w:val="006D2DC1"/>
    <w:rsid w:val="006E04AB"/>
    <w:rsid w:val="006E1CFA"/>
    <w:rsid w:val="006E3348"/>
    <w:rsid w:val="006E389C"/>
    <w:rsid w:val="006E5D51"/>
    <w:rsid w:val="006E6C08"/>
    <w:rsid w:val="006F062C"/>
    <w:rsid w:val="006F2046"/>
    <w:rsid w:val="006F2D48"/>
    <w:rsid w:val="006F2DB5"/>
    <w:rsid w:val="006F4DFD"/>
    <w:rsid w:val="006F5578"/>
    <w:rsid w:val="006F6673"/>
    <w:rsid w:val="006F7AD3"/>
    <w:rsid w:val="00701DB3"/>
    <w:rsid w:val="00705914"/>
    <w:rsid w:val="007078C6"/>
    <w:rsid w:val="00707F86"/>
    <w:rsid w:val="007135C4"/>
    <w:rsid w:val="00714F3E"/>
    <w:rsid w:val="00714FD2"/>
    <w:rsid w:val="00716EA2"/>
    <w:rsid w:val="00720831"/>
    <w:rsid w:val="007210C4"/>
    <w:rsid w:val="00724E52"/>
    <w:rsid w:val="007273EF"/>
    <w:rsid w:val="00731DB4"/>
    <w:rsid w:val="00734EFA"/>
    <w:rsid w:val="007352C0"/>
    <w:rsid w:val="00735EC2"/>
    <w:rsid w:val="00742A37"/>
    <w:rsid w:val="00747815"/>
    <w:rsid w:val="00754239"/>
    <w:rsid w:val="00754CD5"/>
    <w:rsid w:val="00755141"/>
    <w:rsid w:val="00755FEB"/>
    <w:rsid w:val="00756428"/>
    <w:rsid w:val="00760960"/>
    <w:rsid w:val="00760FED"/>
    <w:rsid w:val="00762903"/>
    <w:rsid w:val="00762E35"/>
    <w:rsid w:val="0076311B"/>
    <w:rsid w:val="00763629"/>
    <w:rsid w:val="00764C93"/>
    <w:rsid w:val="007700A4"/>
    <w:rsid w:val="00770AED"/>
    <w:rsid w:val="00780A28"/>
    <w:rsid w:val="00782431"/>
    <w:rsid w:val="007865DD"/>
    <w:rsid w:val="00787877"/>
    <w:rsid w:val="00787D3B"/>
    <w:rsid w:val="007947BA"/>
    <w:rsid w:val="007960E7"/>
    <w:rsid w:val="00797395"/>
    <w:rsid w:val="007A1CE1"/>
    <w:rsid w:val="007A6AD7"/>
    <w:rsid w:val="007A7210"/>
    <w:rsid w:val="007B044F"/>
    <w:rsid w:val="007B1AAC"/>
    <w:rsid w:val="007B2B31"/>
    <w:rsid w:val="007B38AB"/>
    <w:rsid w:val="007B49E4"/>
    <w:rsid w:val="007B4F77"/>
    <w:rsid w:val="007B7C68"/>
    <w:rsid w:val="007C1AC0"/>
    <w:rsid w:val="007C3AF8"/>
    <w:rsid w:val="007C5AC4"/>
    <w:rsid w:val="007C6C84"/>
    <w:rsid w:val="007C6FEE"/>
    <w:rsid w:val="007C7FDB"/>
    <w:rsid w:val="007D656A"/>
    <w:rsid w:val="007D7B22"/>
    <w:rsid w:val="007E0F0C"/>
    <w:rsid w:val="007E1644"/>
    <w:rsid w:val="007E4848"/>
    <w:rsid w:val="007E57BC"/>
    <w:rsid w:val="007E66BC"/>
    <w:rsid w:val="007F1696"/>
    <w:rsid w:val="007F1797"/>
    <w:rsid w:val="007F5C62"/>
    <w:rsid w:val="007F6C49"/>
    <w:rsid w:val="007F7BB1"/>
    <w:rsid w:val="008000F9"/>
    <w:rsid w:val="00801546"/>
    <w:rsid w:val="00803C08"/>
    <w:rsid w:val="00804E14"/>
    <w:rsid w:val="00806573"/>
    <w:rsid w:val="00806CCE"/>
    <w:rsid w:val="00806FA9"/>
    <w:rsid w:val="00810624"/>
    <w:rsid w:val="008109D3"/>
    <w:rsid w:val="008133F0"/>
    <w:rsid w:val="0081382B"/>
    <w:rsid w:val="00815911"/>
    <w:rsid w:val="00815D38"/>
    <w:rsid w:val="00817387"/>
    <w:rsid w:val="008215F3"/>
    <w:rsid w:val="008257A1"/>
    <w:rsid w:val="0082781B"/>
    <w:rsid w:val="0083009F"/>
    <w:rsid w:val="008340E7"/>
    <w:rsid w:val="00841B2B"/>
    <w:rsid w:val="00844210"/>
    <w:rsid w:val="008463D1"/>
    <w:rsid w:val="008475A8"/>
    <w:rsid w:val="00850144"/>
    <w:rsid w:val="00850563"/>
    <w:rsid w:val="00850C1A"/>
    <w:rsid w:val="008510CC"/>
    <w:rsid w:val="00856FAF"/>
    <w:rsid w:val="00861D68"/>
    <w:rsid w:val="00864847"/>
    <w:rsid w:val="00871F6A"/>
    <w:rsid w:val="00872AE4"/>
    <w:rsid w:val="008744CC"/>
    <w:rsid w:val="008813A7"/>
    <w:rsid w:val="0088443C"/>
    <w:rsid w:val="008847EA"/>
    <w:rsid w:val="0089214A"/>
    <w:rsid w:val="00893D70"/>
    <w:rsid w:val="008940ED"/>
    <w:rsid w:val="00894D43"/>
    <w:rsid w:val="0089795B"/>
    <w:rsid w:val="008A16F1"/>
    <w:rsid w:val="008A1CD8"/>
    <w:rsid w:val="008A3B56"/>
    <w:rsid w:val="008A53F9"/>
    <w:rsid w:val="008B1D69"/>
    <w:rsid w:val="008B24B2"/>
    <w:rsid w:val="008B24B6"/>
    <w:rsid w:val="008B47F1"/>
    <w:rsid w:val="008B4972"/>
    <w:rsid w:val="008B7F67"/>
    <w:rsid w:val="008C01DF"/>
    <w:rsid w:val="008C0AA6"/>
    <w:rsid w:val="008C119B"/>
    <w:rsid w:val="008C12F2"/>
    <w:rsid w:val="008C21E4"/>
    <w:rsid w:val="008C3D8C"/>
    <w:rsid w:val="008C5052"/>
    <w:rsid w:val="008C5344"/>
    <w:rsid w:val="008C560C"/>
    <w:rsid w:val="008D170F"/>
    <w:rsid w:val="008D2117"/>
    <w:rsid w:val="008D2F9D"/>
    <w:rsid w:val="008D5440"/>
    <w:rsid w:val="008D613D"/>
    <w:rsid w:val="008E28C0"/>
    <w:rsid w:val="008E3816"/>
    <w:rsid w:val="008E3AF9"/>
    <w:rsid w:val="008E51D0"/>
    <w:rsid w:val="008E5237"/>
    <w:rsid w:val="008F09AE"/>
    <w:rsid w:val="008F14D1"/>
    <w:rsid w:val="008F2D15"/>
    <w:rsid w:val="008F700D"/>
    <w:rsid w:val="00900B9C"/>
    <w:rsid w:val="00901145"/>
    <w:rsid w:val="00901488"/>
    <w:rsid w:val="00902F74"/>
    <w:rsid w:val="0090350C"/>
    <w:rsid w:val="00903B7E"/>
    <w:rsid w:val="0090789A"/>
    <w:rsid w:val="00916B7E"/>
    <w:rsid w:val="009171C9"/>
    <w:rsid w:val="009176D8"/>
    <w:rsid w:val="00920DC0"/>
    <w:rsid w:val="009241A9"/>
    <w:rsid w:val="00926221"/>
    <w:rsid w:val="00932649"/>
    <w:rsid w:val="00933F3F"/>
    <w:rsid w:val="00934C6B"/>
    <w:rsid w:val="00940C71"/>
    <w:rsid w:val="00943E4D"/>
    <w:rsid w:val="00946254"/>
    <w:rsid w:val="009510A6"/>
    <w:rsid w:val="00954F61"/>
    <w:rsid w:val="0095608B"/>
    <w:rsid w:val="00962B88"/>
    <w:rsid w:val="00963776"/>
    <w:rsid w:val="00963F8A"/>
    <w:rsid w:val="0096522F"/>
    <w:rsid w:val="00965C77"/>
    <w:rsid w:val="00970798"/>
    <w:rsid w:val="0097667A"/>
    <w:rsid w:val="00980BED"/>
    <w:rsid w:val="00982F63"/>
    <w:rsid w:val="0098389A"/>
    <w:rsid w:val="00984FF0"/>
    <w:rsid w:val="0098552B"/>
    <w:rsid w:val="0098554F"/>
    <w:rsid w:val="009879BC"/>
    <w:rsid w:val="0099022A"/>
    <w:rsid w:val="00991A31"/>
    <w:rsid w:val="009948DD"/>
    <w:rsid w:val="00996713"/>
    <w:rsid w:val="00997272"/>
    <w:rsid w:val="00997304"/>
    <w:rsid w:val="00997FD1"/>
    <w:rsid w:val="009A0C77"/>
    <w:rsid w:val="009A0DF5"/>
    <w:rsid w:val="009A18EA"/>
    <w:rsid w:val="009A20ED"/>
    <w:rsid w:val="009A7730"/>
    <w:rsid w:val="009B06D3"/>
    <w:rsid w:val="009B25F8"/>
    <w:rsid w:val="009B33BE"/>
    <w:rsid w:val="009B34FF"/>
    <w:rsid w:val="009B392D"/>
    <w:rsid w:val="009B3A71"/>
    <w:rsid w:val="009B4059"/>
    <w:rsid w:val="009B4385"/>
    <w:rsid w:val="009B4C88"/>
    <w:rsid w:val="009B7469"/>
    <w:rsid w:val="009C2429"/>
    <w:rsid w:val="009D1730"/>
    <w:rsid w:val="009D2655"/>
    <w:rsid w:val="009D29A1"/>
    <w:rsid w:val="009E0316"/>
    <w:rsid w:val="009E0BAA"/>
    <w:rsid w:val="009E0DD0"/>
    <w:rsid w:val="009E1C4B"/>
    <w:rsid w:val="009E6D3E"/>
    <w:rsid w:val="009F4A97"/>
    <w:rsid w:val="009F5131"/>
    <w:rsid w:val="009F714E"/>
    <w:rsid w:val="009F76A7"/>
    <w:rsid w:val="00A031F3"/>
    <w:rsid w:val="00A07A37"/>
    <w:rsid w:val="00A1006D"/>
    <w:rsid w:val="00A11A3E"/>
    <w:rsid w:val="00A15070"/>
    <w:rsid w:val="00A15488"/>
    <w:rsid w:val="00A15520"/>
    <w:rsid w:val="00A17F74"/>
    <w:rsid w:val="00A20707"/>
    <w:rsid w:val="00A26435"/>
    <w:rsid w:val="00A27488"/>
    <w:rsid w:val="00A31668"/>
    <w:rsid w:val="00A333F1"/>
    <w:rsid w:val="00A35260"/>
    <w:rsid w:val="00A4186B"/>
    <w:rsid w:val="00A42308"/>
    <w:rsid w:val="00A43751"/>
    <w:rsid w:val="00A4567F"/>
    <w:rsid w:val="00A45F38"/>
    <w:rsid w:val="00A46CF5"/>
    <w:rsid w:val="00A47871"/>
    <w:rsid w:val="00A5083B"/>
    <w:rsid w:val="00A51923"/>
    <w:rsid w:val="00A53E21"/>
    <w:rsid w:val="00A57AB2"/>
    <w:rsid w:val="00A60FC7"/>
    <w:rsid w:val="00A61E2A"/>
    <w:rsid w:val="00A70A82"/>
    <w:rsid w:val="00A75FED"/>
    <w:rsid w:val="00A764F2"/>
    <w:rsid w:val="00A807F9"/>
    <w:rsid w:val="00A810E0"/>
    <w:rsid w:val="00A81CAF"/>
    <w:rsid w:val="00A82381"/>
    <w:rsid w:val="00A82B86"/>
    <w:rsid w:val="00A86282"/>
    <w:rsid w:val="00A864C3"/>
    <w:rsid w:val="00A86D21"/>
    <w:rsid w:val="00A86DC0"/>
    <w:rsid w:val="00A907C3"/>
    <w:rsid w:val="00A92E17"/>
    <w:rsid w:val="00A96144"/>
    <w:rsid w:val="00A964EB"/>
    <w:rsid w:val="00A9652A"/>
    <w:rsid w:val="00AA0532"/>
    <w:rsid w:val="00AA4392"/>
    <w:rsid w:val="00AB19BB"/>
    <w:rsid w:val="00AB2769"/>
    <w:rsid w:val="00AB2787"/>
    <w:rsid w:val="00AB3F24"/>
    <w:rsid w:val="00AB715F"/>
    <w:rsid w:val="00AC084F"/>
    <w:rsid w:val="00AC2291"/>
    <w:rsid w:val="00AC40FD"/>
    <w:rsid w:val="00AC51BB"/>
    <w:rsid w:val="00AC69D0"/>
    <w:rsid w:val="00AC6D1E"/>
    <w:rsid w:val="00AD287D"/>
    <w:rsid w:val="00AD2CC5"/>
    <w:rsid w:val="00AD4F64"/>
    <w:rsid w:val="00AD7785"/>
    <w:rsid w:val="00AE36A7"/>
    <w:rsid w:val="00AE53BD"/>
    <w:rsid w:val="00AE6620"/>
    <w:rsid w:val="00AE7309"/>
    <w:rsid w:val="00AE7660"/>
    <w:rsid w:val="00AE79A9"/>
    <w:rsid w:val="00AE7B64"/>
    <w:rsid w:val="00AF0A26"/>
    <w:rsid w:val="00AF14ED"/>
    <w:rsid w:val="00AF411E"/>
    <w:rsid w:val="00AF5A78"/>
    <w:rsid w:val="00B00A89"/>
    <w:rsid w:val="00B00D68"/>
    <w:rsid w:val="00B0178F"/>
    <w:rsid w:val="00B07BA1"/>
    <w:rsid w:val="00B1138E"/>
    <w:rsid w:val="00B1280A"/>
    <w:rsid w:val="00B13BC6"/>
    <w:rsid w:val="00B13D84"/>
    <w:rsid w:val="00B16355"/>
    <w:rsid w:val="00B176DF"/>
    <w:rsid w:val="00B17C14"/>
    <w:rsid w:val="00B213B5"/>
    <w:rsid w:val="00B21A27"/>
    <w:rsid w:val="00B247D6"/>
    <w:rsid w:val="00B252E8"/>
    <w:rsid w:val="00B253C4"/>
    <w:rsid w:val="00B2727B"/>
    <w:rsid w:val="00B340D2"/>
    <w:rsid w:val="00B343D7"/>
    <w:rsid w:val="00B35293"/>
    <w:rsid w:val="00B44074"/>
    <w:rsid w:val="00B46F6E"/>
    <w:rsid w:val="00B476C5"/>
    <w:rsid w:val="00B47969"/>
    <w:rsid w:val="00B6255F"/>
    <w:rsid w:val="00B667DD"/>
    <w:rsid w:val="00B72FEB"/>
    <w:rsid w:val="00B77AFD"/>
    <w:rsid w:val="00B83C3B"/>
    <w:rsid w:val="00B8521B"/>
    <w:rsid w:val="00B86A41"/>
    <w:rsid w:val="00B91BA3"/>
    <w:rsid w:val="00B92AFC"/>
    <w:rsid w:val="00B94B08"/>
    <w:rsid w:val="00B96A34"/>
    <w:rsid w:val="00B96C44"/>
    <w:rsid w:val="00B97FA6"/>
    <w:rsid w:val="00BA2393"/>
    <w:rsid w:val="00BA2C41"/>
    <w:rsid w:val="00BA3F42"/>
    <w:rsid w:val="00BA5C7C"/>
    <w:rsid w:val="00BB0533"/>
    <w:rsid w:val="00BB25F7"/>
    <w:rsid w:val="00BB2C84"/>
    <w:rsid w:val="00BB3812"/>
    <w:rsid w:val="00BB5434"/>
    <w:rsid w:val="00BB57DE"/>
    <w:rsid w:val="00BC4BB2"/>
    <w:rsid w:val="00BC66EE"/>
    <w:rsid w:val="00BC7E4F"/>
    <w:rsid w:val="00BD26DB"/>
    <w:rsid w:val="00BD5F20"/>
    <w:rsid w:val="00BE1291"/>
    <w:rsid w:val="00BE158A"/>
    <w:rsid w:val="00BE2EE0"/>
    <w:rsid w:val="00BE39C5"/>
    <w:rsid w:val="00BE523B"/>
    <w:rsid w:val="00BE6598"/>
    <w:rsid w:val="00BF107D"/>
    <w:rsid w:val="00BF16D3"/>
    <w:rsid w:val="00BF1D50"/>
    <w:rsid w:val="00BF2B19"/>
    <w:rsid w:val="00BF2E83"/>
    <w:rsid w:val="00C01074"/>
    <w:rsid w:val="00C028C7"/>
    <w:rsid w:val="00C0338D"/>
    <w:rsid w:val="00C113B4"/>
    <w:rsid w:val="00C11CD1"/>
    <w:rsid w:val="00C1612D"/>
    <w:rsid w:val="00C16C6A"/>
    <w:rsid w:val="00C22407"/>
    <w:rsid w:val="00C25E12"/>
    <w:rsid w:val="00C3509C"/>
    <w:rsid w:val="00C35B9C"/>
    <w:rsid w:val="00C36935"/>
    <w:rsid w:val="00C37FD2"/>
    <w:rsid w:val="00C4095A"/>
    <w:rsid w:val="00C41593"/>
    <w:rsid w:val="00C42A94"/>
    <w:rsid w:val="00C45700"/>
    <w:rsid w:val="00C45838"/>
    <w:rsid w:val="00C51DEA"/>
    <w:rsid w:val="00C65C2E"/>
    <w:rsid w:val="00C73B87"/>
    <w:rsid w:val="00C76149"/>
    <w:rsid w:val="00C77979"/>
    <w:rsid w:val="00C863EE"/>
    <w:rsid w:val="00C865B6"/>
    <w:rsid w:val="00C878AC"/>
    <w:rsid w:val="00C902CD"/>
    <w:rsid w:val="00C923AB"/>
    <w:rsid w:val="00C95265"/>
    <w:rsid w:val="00CA011C"/>
    <w:rsid w:val="00CA5102"/>
    <w:rsid w:val="00CA53B8"/>
    <w:rsid w:val="00CB23AA"/>
    <w:rsid w:val="00CB7292"/>
    <w:rsid w:val="00CC0D4E"/>
    <w:rsid w:val="00CC181C"/>
    <w:rsid w:val="00CC4241"/>
    <w:rsid w:val="00CC5817"/>
    <w:rsid w:val="00CC5DA2"/>
    <w:rsid w:val="00CC780C"/>
    <w:rsid w:val="00CC781F"/>
    <w:rsid w:val="00CD02A8"/>
    <w:rsid w:val="00CD3B43"/>
    <w:rsid w:val="00CD5727"/>
    <w:rsid w:val="00CD60CE"/>
    <w:rsid w:val="00CE0D1E"/>
    <w:rsid w:val="00CE1878"/>
    <w:rsid w:val="00CF15AF"/>
    <w:rsid w:val="00CF43D2"/>
    <w:rsid w:val="00CF5BCA"/>
    <w:rsid w:val="00CF6F9B"/>
    <w:rsid w:val="00D00081"/>
    <w:rsid w:val="00D00944"/>
    <w:rsid w:val="00D01499"/>
    <w:rsid w:val="00D015A1"/>
    <w:rsid w:val="00D020A1"/>
    <w:rsid w:val="00D02450"/>
    <w:rsid w:val="00D03F8C"/>
    <w:rsid w:val="00D06257"/>
    <w:rsid w:val="00D06AC2"/>
    <w:rsid w:val="00D07B1E"/>
    <w:rsid w:val="00D07EF0"/>
    <w:rsid w:val="00D11289"/>
    <w:rsid w:val="00D158EB"/>
    <w:rsid w:val="00D1711B"/>
    <w:rsid w:val="00D21B43"/>
    <w:rsid w:val="00D21B62"/>
    <w:rsid w:val="00D231DD"/>
    <w:rsid w:val="00D2411D"/>
    <w:rsid w:val="00D2651D"/>
    <w:rsid w:val="00D35807"/>
    <w:rsid w:val="00D41003"/>
    <w:rsid w:val="00D417C1"/>
    <w:rsid w:val="00D424CA"/>
    <w:rsid w:val="00D43F94"/>
    <w:rsid w:val="00D44420"/>
    <w:rsid w:val="00D45084"/>
    <w:rsid w:val="00D45D4D"/>
    <w:rsid w:val="00D47101"/>
    <w:rsid w:val="00D56153"/>
    <w:rsid w:val="00D57032"/>
    <w:rsid w:val="00D6606D"/>
    <w:rsid w:val="00D66F4A"/>
    <w:rsid w:val="00D73EF8"/>
    <w:rsid w:val="00D763C7"/>
    <w:rsid w:val="00D76B3B"/>
    <w:rsid w:val="00D8143F"/>
    <w:rsid w:val="00D83B41"/>
    <w:rsid w:val="00D84BE2"/>
    <w:rsid w:val="00D84E40"/>
    <w:rsid w:val="00D86238"/>
    <w:rsid w:val="00D93427"/>
    <w:rsid w:val="00D95A9C"/>
    <w:rsid w:val="00DA032C"/>
    <w:rsid w:val="00DA2C29"/>
    <w:rsid w:val="00DA5185"/>
    <w:rsid w:val="00DA6656"/>
    <w:rsid w:val="00DA6921"/>
    <w:rsid w:val="00DA7753"/>
    <w:rsid w:val="00DB025F"/>
    <w:rsid w:val="00DB3A26"/>
    <w:rsid w:val="00DB50B1"/>
    <w:rsid w:val="00DB5944"/>
    <w:rsid w:val="00DB6070"/>
    <w:rsid w:val="00DB6F81"/>
    <w:rsid w:val="00DB78C7"/>
    <w:rsid w:val="00DC02D9"/>
    <w:rsid w:val="00DC2F59"/>
    <w:rsid w:val="00DC3961"/>
    <w:rsid w:val="00DC45A8"/>
    <w:rsid w:val="00DC46AC"/>
    <w:rsid w:val="00DC796D"/>
    <w:rsid w:val="00DD060A"/>
    <w:rsid w:val="00DD5086"/>
    <w:rsid w:val="00DD6161"/>
    <w:rsid w:val="00DD6CC8"/>
    <w:rsid w:val="00DE25A3"/>
    <w:rsid w:val="00DE3055"/>
    <w:rsid w:val="00DE4AD5"/>
    <w:rsid w:val="00DE651D"/>
    <w:rsid w:val="00DE78E3"/>
    <w:rsid w:val="00E0081C"/>
    <w:rsid w:val="00E018D3"/>
    <w:rsid w:val="00E01D5E"/>
    <w:rsid w:val="00E02554"/>
    <w:rsid w:val="00E0414B"/>
    <w:rsid w:val="00E0615D"/>
    <w:rsid w:val="00E0711F"/>
    <w:rsid w:val="00E07825"/>
    <w:rsid w:val="00E117B3"/>
    <w:rsid w:val="00E125B1"/>
    <w:rsid w:val="00E140D7"/>
    <w:rsid w:val="00E147DD"/>
    <w:rsid w:val="00E15CD8"/>
    <w:rsid w:val="00E17E58"/>
    <w:rsid w:val="00E20F1E"/>
    <w:rsid w:val="00E21550"/>
    <w:rsid w:val="00E22B02"/>
    <w:rsid w:val="00E25658"/>
    <w:rsid w:val="00E25DD9"/>
    <w:rsid w:val="00E26AC1"/>
    <w:rsid w:val="00E27790"/>
    <w:rsid w:val="00E3181B"/>
    <w:rsid w:val="00E3362B"/>
    <w:rsid w:val="00E3393B"/>
    <w:rsid w:val="00E375A4"/>
    <w:rsid w:val="00E40C43"/>
    <w:rsid w:val="00E42417"/>
    <w:rsid w:val="00E43D03"/>
    <w:rsid w:val="00E43DAF"/>
    <w:rsid w:val="00E441ED"/>
    <w:rsid w:val="00E46E6E"/>
    <w:rsid w:val="00E50B92"/>
    <w:rsid w:val="00E50C79"/>
    <w:rsid w:val="00E52309"/>
    <w:rsid w:val="00E52C0A"/>
    <w:rsid w:val="00E5331B"/>
    <w:rsid w:val="00E5365C"/>
    <w:rsid w:val="00E53F6E"/>
    <w:rsid w:val="00E54452"/>
    <w:rsid w:val="00E566CC"/>
    <w:rsid w:val="00E7313E"/>
    <w:rsid w:val="00E73FAB"/>
    <w:rsid w:val="00E74B59"/>
    <w:rsid w:val="00E76819"/>
    <w:rsid w:val="00E768C4"/>
    <w:rsid w:val="00E8090B"/>
    <w:rsid w:val="00E829B5"/>
    <w:rsid w:val="00E83E9C"/>
    <w:rsid w:val="00E84539"/>
    <w:rsid w:val="00E91BAD"/>
    <w:rsid w:val="00E95A50"/>
    <w:rsid w:val="00E95DE8"/>
    <w:rsid w:val="00E96A9E"/>
    <w:rsid w:val="00EA3EED"/>
    <w:rsid w:val="00EA3F88"/>
    <w:rsid w:val="00EA4F1A"/>
    <w:rsid w:val="00EA70DD"/>
    <w:rsid w:val="00EB16BF"/>
    <w:rsid w:val="00EB2856"/>
    <w:rsid w:val="00EB2EA3"/>
    <w:rsid w:val="00EB6733"/>
    <w:rsid w:val="00EC156F"/>
    <w:rsid w:val="00EC3AD4"/>
    <w:rsid w:val="00EC67FD"/>
    <w:rsid w:val="00EC712F"/>
    <w:rsid w:val="00ED0F68"/>
    <w:rsid w:val="00ED2529"/>
    <w:rsid w:val="00ED261E"/>
    <w:rsid w:val="00ED52BE"/>
    <w:rsid w:val="00ED5428"/>
    <w:rsid w:val="00EE091B"/>
    <w:rsid w:val="00EE0984"/>
    <w:rsid w:val="00EE29E1"/>
    <w:rsid w:val="00EE3AF2"/>
    <w:rsid w:val="00EE589B"/>
    <w:rsid w:val="00EF0121"/>
    <w:rsid w:val="00EF1B2F"/>
    <w:rsid w:val="00EF2913"/>
    <w:rsid w:val="00EF3C32"/>
    <w:rsid w:val="00EF7477"/>
    <w:rsid w:val="00F0017F"/>
    <w:rsid w:val="00F00DB0"/>
    <w:rsid w:val="00F025C8"/>
    <w:rsid w:val="00F05E02"/>
    <w:rsid w:val="00F11CF0"/>
    <w:rsid w:val="00F12E05"/>
    <w:rsid w:val="00F163A0"/>
    <w:rsid w:val="00F216E3"/>
    <w:rsid w:val="00F2230A"/>
    <w:rsid w:val="00F2319C"/>
    <w:rsid w:val="00F25BED"/>
    <w:rsid w:val="00F27F90"/>
    <w:rsid w:val="00F33926"/>
    <w:rsid w:val="00F34394"/>
    <w:rsid w:val="00F408D8"/>
    <w:rsid w:val="00F42BC5"/>
    <w:rsid w:val="00F43DC9"/>
    <w:rsid w:val="00F46F50"/>
    <w:rsid w:val="00F50C13"/>
    <w:rsid w:val="00F5479A"/>
    <w:rsid w:val="00F54C3B"/>
    <w:rsid w:val="00F57055"/>
    <w:rsid w:val="00F5798E"/>
    <w:rsid w:val="00F6209C"/>
    <w:rsid w:val="00F6371C"/>
    <w:rsid w:val="00F63A40"/>
    <w:rsid w:val="00F63EB1"/>
    <w:rsid w:val="00F65F93"/>
    <w:rsid w:val="00F720CA"/>
    <w:rsid w:val="00F82006"/>
    <w:rsid w:val="00F82188"/>
    <w:rsid w:val="00F84887"/>
    <w:rsid w:val="00F84CB2"/>
    <w:rsid w:val="00F85785"/>
    <w:rsid w:val="00F863B4"/>
    <w:rsid w:val="00F901F6"/>
    <w:rsid w:val="00F9293F"/>
    <w:rsid w:val="00F954DA"/>
    <w:rsid w:val="00F96BA1"/>
    <w:rsid w:val="00FA1579"/>
    <w:rsid w:val="00FA33F4"/>
    <w:rsid w:val="00FA458E"/>
    <w:rsid w:val="00FA6746"/>
    <w:rsid w:val="00FA6838"/>
    <w:rsid w:val="00FA6F21"/>
    <w:rsid w:val="00FA7CE0"/>
    <w:rsid w:val="00FB0A19"/>
    <w:rsid w:val="00FB2251"/>
    <w:rsid w:val="00FB22C5"/>
    <w:rsid w:val="00FB4A57"/>
    <w:rsid w:val="00FB4B89"/>
    <w:rsid w:val="00FC1E44"/>
    <w:rsid w:val="00FC20F7"/>
    <w:rsid w:val="00FC25D3"/>
    <w:rsid w:val="00FC5471"/>
    <w:rsid w:val="00FC5D37"/>
    <w:rsid w:val="00FC72A5"/>
    <w:rsid w:val="00FC79F6"/>
    <w:rsid w:val="00FD0B2B"/>
    <w:rsid w:val="00FD1052"/>
    <w:rsid w:val="00FD263A"/>
    <w:rsid w:val="00FD5809"/>
    <w:rsid w:val="00FD685A"/>
    <w:rsid w:val="00FE0418"/>
    <w:rsid w:val="00FE0708"/>
    <w:rsid w:val="00FE0A94"/>
    <w:rsid w:val="00FE5783"/>
    <w:rsid w:val="00FE586E"/>
    <w:rsid w:val="00FE5E09"/>
    <w:rsid w:val="00FF141D"/>
    <w:rsid w:val="00FF23BD"/>
    <w:rsid w:val="00FF3EEE"/>
    <w:rsid w:val="00FF5C07"/>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07"/>
    <w:pPr>
      <w:spacing w:after="200" w:line="276" w:lineRule="auto"/>
    </w:pPr>
  </w:style>
  <w:style w:type="paragraph" w:styleId="Heading1">
    <w:name w:val="heading 1"/>
    <w:basedOn w:val="Normal"/>
    <w:next w:val="Normal"/>
    <w:link w:val="Heading1Char"/>
    <w:uiPriority w:val="99"/>
    <w:qFormat/>
    <w:locked/>
    <w:rsid w:val="0069468D"/>
    <w:pPr>
      <w:keepNext/>
      <w:spacing w:before="240" w:after="60"/>
      <w:outlineLvl w:val="0"/>
    </w:pPr>
    <w:rPr>
      <w:rFonts w:ascii="Times New Roman" w:eastAsia="Times New Roman" w:hAnsi="Times New Roman"/>
      <w:b/>
      <w:bCs/>
      <w:kern w:val="32"/>
      <w:szCs w:val="32"/>
    </w:rPr>
  </w:style>
  <w:style w:type="paragraph" w:styleId="Heading2">
    <w:name w:val="heading 2"/>
    <w:basedOn w:val="Normal"/>
    <w:link w:val="Heading2Char"/>
    <w:uiPriority w:val="99"/>
    <w:qFormat/>
    <w:locked/>
    <w:rsid w:val="00AC084F"/>
    <w:pPr>
      <w:spacing w:before="100" w:beforeAutospacing="1" w:after="100" w:afterAutospacing="1" w:line="240" w:lineRule="auto"/>
      <w:outlineLvl w:val="1"/>
    </w:pPr>
    <w:rPr>
      <w:rFonts w:ascii="Verdana" w:eastAsia="Times New Roman" w:hAnsi="Verdana"/>
      <w:b/>
      <w:bCs/>
      <w:color w:val="336666"/>
      <w:sz w:val="25"/>
      <w:szCs w:val="25"/>
    </w:rPr>
  </w:style>
  <w:style w:type="paragraph" w:styleId="Heading3">
    <w:name w:val="heading 3"/>
    <w:basedOn w:val="Normal"/>
    <w:next w:val="Normal"/>
    <w:link w:val="Heading3Char"/>
    <w:uiPriority w:val="99"/>
    <w:qFormat/>
    <w:locked/>
    <w:rsid w:val="00AC084F"/>
    <w:pPr>
      <w:keepNext/>
      <w:keepLines/>
      <w:spacing w:before="200" w:after="0" w:line="240" w:lineRule="auto"/>
      <w:outlineLvl w:val="2"/>
    </w:pPr>
    <w:rPr>
      <w:rFonts w:ascii="Cambria" w:eastAsia="Times New Roman" w:hAnsi="Cambria"/>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68D"/>
    <w:rPr>
      <w:rFonts w:ascii="Times New Roman" w:eastAsia="Times New Roman" w:hAnsi="Times New Roman"/>
      <w:b/>
      <w:bCs/>
      <w:kern w:val="32"/>
      <w:szCs w:val="32"/>
    </w:rPr>
  </w:style>
  <w:style w:type="character" w:customStyle="1" w:styleId="Heading2Char">
    <w:name w:val="Heading 2 Char"/>
    <w:basedOn w:val="DefaultParagraphFont"/>
    <w:link w:val="Heading2"/>
    <w:uiPriority w:val="99"/>
    <w:locked/>
    <w:rsid w:val="00AC084F"/>
    <w:rPr>
      <w:rFonts w:ascii="Verdana" w:hAnsi="Verdana" w:cs="Times New Roman"/>
      <w:b/>
      <w:bCs/>
      <w:color w:val="336666"/>
      <w:sz w:val="25"/>
      <w:szCs w:val="25"/>
    </w:rPr>
  </w:style>
  <w:style w:type="character" w:customStyle="1" w:styleId="Heading3Char">
    <w:name w:val="Heading 3 Char"/>
    <w:basedOn w:val="DefaultParagraphFont"/>
    <w:link w:val="Heading3"/>
    <w:uiPriority w:val="99"/>
    <w:semiHidden/>
    <w:locked/>
    <w:rsid w:val="00AC084F"/>
    <w:rPr>
      <w:rFonts w:ascii="Cambria" w:hAnsi="Cambria" w:cs="Times New Roman"/>
      <w:color w:val="4F81BD"/>
      <w:sz w:val="24"/>
    </w:rPr>
  </w:style>
  <w:style w:type="paragraph" w:styleId="ListParagraph">
    <w:name w:val="List Paragraph"/>
    <w:basedOn w:val="Normal"/>
    <w:uiPriority w:val="99"/>
    <w:qFormat/>
    <w:rsid w:val="00760FED"/>
    <w:pPr>
      <w:ind w:left="720"/>
    </w:pPr>
  </w:style>
  <w:style w:type="paragraph" w:styleId="BalloonText">
    <w:name w:val="Balloon Text"/>
    <w:basedOn w:val="Normal"/>
    <w:link w:val="BalloonTextChar"/>
    <w:uiPriority w:val="99"/>
    <w:semiHidden/>
    <w:rsid w:val="00CD60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E35"/>
    <w:rPr>
      <w:rFonts w:ascii="Times New Roman" w:hAnsi="Times New Roman" w:cs="Times New Roman"/>
      <w:sz w:val="2"/>
    </w:rPr>
  </w:style>
  <w:style w:type="paragraph" w:styleId="DocumentMap">
    <w:name w:val="Document Map"/>
    <w:basedOn w:val="Normal"/>
    <w:link w:val="DocumentMapChar"/>
    <w:uiPriority w:val="99"/>
    <w:semiHidden/>
    <w:rsid w:val="00C11CD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1CD1"/>
    <w:rPr>
      <w:rFonts w:ascii="Tahoma" w:hAnsi="Tahoma" w:cs="Tahoma"/>
      <w:sz w:val="16"/>
      <w:szCs w:val="16"/>
    </w:rPr>
  </w:style>
  <w:style w:type="paragraph" w:styleId="Revision">
    <w:name w:val="Revision"/>
    <w:hidden/>
    <w:uiPriority w:val="99"/>
    <w:semiHidden/>
    <w:rsid w:val="00C11CD1"/>
  </w:style>
  <w:style w:type="paragraph" w:styleId="NormalWeb">
    <w:name w:val="Normal (Web)"/>
    <w:basedOn w:val="Normal"/>
    <w:uiPriority w:val="99"/>
    <w:rsid w:val="009B06D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9B06D3"/>
    <w:rPr>
      <w:rFonts w:cs="Times New Roman"/>
      <w:b/>
      <w:bCs/>
    </w:rPr>
  </w:style>
  <w:style w:type="character" w:styleId="Hyperlink">
    <w:name w:val="Hyperlink"/>
    <w:basedOn w:val="DefaultParagraphFont"/>
    <w:uiPriority w:val="99"/>
    <w:rsid w:val="003367ED"/>
    <w:rPr>
      <w:rFonts w:cs="Times New Roman"/>
      <w:color w:val="0000FF"/>
      <w:u w:val="single"/>
    </w:rPr>
  </w:style>
  <w:style w:type="paragraph" w:styleId="BodyTextIndent2">
    <w:name w:val="Body Text Indent 2"/>
    <w:basedOn w:val="Normal"/>
    <w:link w:val="BodyTextIndent2Char"/>
    <w:uiPriority w:val="99"/>
    <w:semiHidden/>
    <w:rsid w:val="00754CD5"/>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754CD5"/>
    <w:rPr>
      <w:rFonts w:ascii="Times New Roman" w:hAnsi="Times New Roman" w:cs="Times New Roman"/>
      <w:sz w:val="20"/>
      <w:szCs w:val="20"/>
    </w:rPr>
  </w:style>
  <w:style w:type="paragraph" w:customStyle="1" w:styleId="Default">
    <w:name w:val="Default"/>
    <w:uiPriority w:val="99"/>
    <w:rsid w:val="00DB50B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217B11"/>
    <w:pPr>
      <w:tabs>
        <w:tab w:val="center" w:pos="4680"/>
        <w:tab w:val="right" w:pos="9360"/>
      </w:tabs>
    </w:pPr>
  </w:style>
  <w:style w:type="character" w:customStyle="1" w:styleId="HeaderChar">
    <w:name w:val="Header Char"/>
    <w:basedOn w:val="DefaultParagraphFont"/>
    <w:link w:val="Header"/>
    <w:uiPriority w:val="99"/>
    <w:locked/>
    <w:rsid w:val="00217B11"/>
    <w:rPr>
      <w:rFonts w:cs="Times New Roman"/>
    </w:rPr>
  </w:style>
  <w:style w:type="paragraph" w:styleId="Footer">
    <w:name w:val="footer"/>
    <w:basedOn w:val="Normal"/>
    <w:link w:val="FooterChar"/>
    <w:uiPriority w:val="99"/>
    <w:rsid w:val="00217B11"/>
    <w:pPr>
      <w:tabs>
        <w:tab w:val="center" w:pos="4680"/>
        <w:tab w:val="right" w:pos="9360"/>
      </w:tabs>
    </w:pPr>
  </w:style>
  <w:style w:type="character" w:customStyle="1" w:styleId="FooterChar">
    <w:name w:val="Footer Char"/>
    <w:basedOn w:val="DefaultParagraphFont"/>
    <w:link w:val="Footer"/>
    <w:uiPriority w:val="99"/>
    <w:locked/>
    <w:rsid w:val="00217B11"/>
    <w:rPr>
      <w:rFonts w:cs="Times New Roman"/>
    </w:rPr>
  </w:style>
  <w:style w:type="paragraph" w:styleId="Subtitle">
    <w:name w:val="Subtitle"/>
    <w:basedOn w:val="Normal"/>
    <w:link w:val="SubtitleChar"/>
    <w:uiPriority w:val="99"/>
    <w:qFormat/>
    <w:locked/>
    <w:rsid w:val="0090350C"/>
    <w:pPr>
      <w:spacing w:after="0" w:line="240" w:lineRule="auto"/>
    </w:pPr>
    <w:rPr>
      <w:rFonts w:ascii="Arial" w:eastAsia="Times New Roman" w:hAnsi="Arial" w:cs="Arial"/>
      <w:sz w:val="24"/>
      <w:szCs w:val="24"/>
      <w:u w:val="single"/>
    </w:rPr>
  </w:style>
  <w:style w:type="character" w:customStyle="1" w:styleId="SubtitleChar">
    <w:name w:val="Subtitle Char"/>
    <w:basedOn w:val="DefaultParagraphFont"/>
    <w:link w:val="Subtitle"/>
    <w:uiPriority w:val="99"/>
    <w:locked/>
    <w:rsid w:val="0090350C"/>
    <w:rPr>
      <w:rFonts w:ascii="Arial" w:hAnsi="Arial" w:cs="Arial"/>
      <w:sz w:val="24"/>
      <w:szCs w:val="24"/>
      <w:u w:val="single"/>
    </w:rPr>
  </w:style>
  <w:style w:type="character" w:customStyle="1" w:styleId="bold1">
    <w:name w:val="bold1"/>
    <w:basedOn w:val="DefaultParagraphFont"/>
    <w:uiPriority w:val="99"/>
    <w:rsid w:val="003B3AC6"/>
    <w:rPr>
      <w:rFonts w:cs="Times New Roman"/>
      <w:b/>
      <w:bCs/>
    </w:rPr>
  </w:style>
  <w:style w:type="character" w:styleId="Emphasis">
    <w:name w:val="Emphasis"/>
    <w:basedOn w:val="DefaultParagraphFont"/>
    <w:uiPriority w:val="99"/>
    <w:qFormat/>
    <w:locked/>
    <w:rsid w:val="00295FF5"/>
    <w:rPr>
      <w:rFonts w:cs="Times New Roman"/>
      <w:i/>
      <w:iCs/>
    </w:rPr>
  </w:style>
  <w:style w:type="character" w:styleId="FootnoteReference">
    <w:name w:val="footnote reference"/>
    <w:basedOn w:val="DefaultParagraphFont"/>
    <w:uiPriority w:val="99"/>
    <w:semiHidden/>
    <w:rsid w:val="0056275C"/>
    <w:rPr>
      <w:rFonts w:cs="Times New Roman"/>
    </w:rPr>
  </w:style>
  <w:style w:type="paragraph" w:styleId="ListBullet">
    <w:name w:val="List Bullet"/>
    <w:basedOn w:val="Normal"/>
    <w:uiPriority w:val="99"/>
    <w:rsid w:val="00AC084F"/>
    <w:pPr>
      <w:tabs>
        <w:tab w:val="num" w:pos="340"/>
      </w:tabs>
      <w:spacing w:after="0" w:line="240" w:lineRule="auto"/>
      <w:ind w:left="340" w:hanging="340"/>
      <w:contextualSpacing/>
    </w:pPr>
    <w:rPr>
      <w:rFonts w:ascii="Verdana" w:eastAsia="Times New Roman" w:hAnsi="Verdana" w:cs="Arial"/>
      <w:b/>
      <w:bCs/>
      <w:color w:val="000000"/>
      <w:sz w:val="24"/>
      <w:szCs w:val="20"/>
    </w:rPr>
  </w:style>
  <w:style w:type="paragraph" w:customStyle="1" w:styleId="home">
    <w:name w:val="home"/>
    <w:basedOn w:val="Normal"/>
    <w:uiPriority w:val="99"/>
    <w:rsid w:val="008475A8"/>
    <w:pPr>
      <w:spacing w:before="100" w:beforeAutospacing="1" w:after="100" w:afterAutospacing="1" w:line="240" w:lineRule="auto"/>
    </w:pPr>
    <w:rPr>
      <w:rFonts w:ascii="Times New Roman" w:eastAsia="Times New Roman" w:hAnsi="Times New Roman"/>
      <w:sz w:val="24"/>
      <w:szCs w:val="24"/>
    </w:rPr>
  </w:style>
  <w:style w:type="paragraph" w:customStyle="1" w:styleId="definition">
    <w:name w:val="definition"/>
    <w:basedOn w:val="Normal"/>
    <w:uiPriority w:val="99"/>
    <w:rsid w:val="002E028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122DD4"/>
    <w:rPr>
      <w:rFonts w:cs="Times New Roman"/>
      <w:color w:val="800080"/>
      <w:u w:val="single"/>
    </w:rPr>
  </w:style>
  <w:style w:type="paragraph" w:styleId="TOC1">
    <w:name w:val="toc 1"/>
    <w:basedOn w:val="Normal"/>
    <w:next w:val="Normal"/>
    <w:autoRedefine/>
    <w:uiPriority w:val="39"/>
    <w:locked/>
    <w:rsid w:val="00D35807"/>
    <w:pPr>
      <w:tabs>
        <w:tab w:val="left" w:pos="720"/>
        <w:tab w:val="right" w:leader="dot" w:pos="9350"/>
      </w:tabs>
    </w:pPr>
    <w:rPr>
      <w:rFonts w:ascii="Times New Roman" w:hAnsi="Times New Roman"/>
    </w:rPr>
  </w:style>
  <w:style w:type="paragraph" w:styleId="TOC2">
    <w:name w:val="toc 2"/>
    <w:basedOn w:val="Normal"/>
    <w:next w:val="Normal"/>
    <w:autoRedefine/>
    <w:uiPriority w:val="39"/>
    <w:locked/>
    <w:rsid w:val="00943E4D"/>
    <w:pPr>
      <w:ind w:left="220"/>
    </w:pPr>
  </w:style>
  <w:style w:type="paragraph" w:styleId="TOC3">
    <w:name w:val="toc 3"/>
    <w:basedOn w:val="Normal"/>
    <w:next w:val="Normal"/>
    <w:autoRedefine/>
    <w:uiPriority w:val="99"/>
    <w:locked/>
    <w:rsid w:val="00943E4D"/>
    <w:pPr>
      <w:ind w:left="440"/>
    </w:pPr>
  </w:style>
  <w:style w:type="character" w:styleId="CommentReference">
    <w:name w:val="annotation reference"/>
    <w:basedOn w:val="DefaultParagraphFont"/>
    <w:uiPriority w:val="99"/>
    <w:semiHidden/>
    <w:rsid w:val="00557B16"/>
    <w:rPr>
      <w:rFonts w:cs="Times New Roman"/>
      <w:sz w:val="16"/>
      <w:szCs w:val="16"/>
    </w:rPr>
  </w:style>
  <w:style w:type="paragraph" w:styleId="CommentText">
    <w:name w:val="annotation text"/>
    <w:basedOn w:val="Normal"/>
    <w:link w:val="CommentTextChar"/>
    <w:uiPriority w:val="99"/>
    <w:semiHidden/>
    <w:rsid w:val="00557B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7B16"/>
    <w:rPr>
      <w:rFonts w:cs="Times New Roman"/>
    </w:rPr>
  </w:style>
  <w:style w:type="paragraph" w:styleId="CommentSubject">
    <w:name w:val="annotation subject"/>
    <w:basedOn w:val="CommentText"/>
    <w:next w:val="CommentText"/>
    <w:link w:val="CommentSubjectChar"/>
    <w:uiPriority w:val="99"/>
    <w:semiHidden/>
    <w:rsid w:val="00557B16"/>
    <w:rPr>
      <w:b/>
      <w:bCs/>
    </w:rPr>
  </w:style>
  <w:style w:type="character" w:customStyle="1" w:styleId="CommentSubjectChar">
    <w:name w:val="Comment Subject Char"/>
    <w:basedOn w:val="CommentTextChar"/>
    <w:link w:val="CommentSubject"/>
    <w:uiPriority w:val="99"/>
    <w:semiHidden/>
    <w:locked/>
    <w:rsid w:val="00557B16"/>
    <w:rPr>
      <w:rFonts w:cs="Times New Roman"/>
      <w:b/>
      <w:bCs/>
    </w:rPr>
  </w:style>
  <w:style w:type="numbering" w:customStyle="1" w:styleId="StyleBulletedSymbolsymbolLeft051Hanging024">
    <w:name w:val="Style Bulleted Symbol (symbol) Left:  0.51&quot; Hanging:  0.24&quot;"/>
    <w:basedOn w:val="NoList"/>
    <w:rsid w:val="00D35807"/>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07"/>
    <w:pPr>
      <w:spacing w:after="200" w:line="276" w:lineRule="auto"/>
    </w:pPr>
  </w:style>
  <w:style w:type="paragraph" w:styleId="Heading1">
    <w:name w:val="heading 1"/>
    <w:basedOn w:val="Normal"/>
    <w:next w:val="Normal"/>
    <w:link w:val="Heading1Char"/>
    <w:uiPriority w:val="99"/>
    <w:qFormat/>
    <w:locked/>
    <w:rsid w:val="0069468D"/>
    <w:pPr>
      <w:keepNext/>
      <w:spacing w:before="240" w:after="60"/>
      <w:outlineLvl w:val="0"/>
    </w:pPr>
    <w:rPr>
      <w:rFonts w:ascii="Times New Roman" w:eastAsia="Times New Roman" w:hAnsi="Times New Roman"/>
      <w:b/>
      <w:bCs/>
      <w:kern w:val="32"/>
      <w:szCs w:val="32"/>
    </w:rPr>
  </w:style>
  <w:style w:type="paragraph" w:styleId="Heading2">
    <w:name w:val="heading 2"/>
    <w:basedOn w:val="Normal"/>
    <w:link w:val="Heading2Char"/>
    <w:uiPriority w:val="99"/>
    <w:qFormat/>
    <w:locked/>
    <w:rsid w:val="00AC084F"/>
    <w:pPr>
      <w:spacing w:before="100" w:beforeAutospacing="1" w:after="100" w:afterAutospacing="1" w:line="240" w:lineRule="auto"/>
      <w:outlineLvl w:val="1"/>
    </w:pPr>
    <w:rPr>
      <w:rFonts w:ascii="Verdana" w:eastAsia="Times New Roman" w:hAnsi="Verdana"/>
      <w:b/>
      <w:bCs/>
      <w:color w:val="336666"/>
      <w:sz w:val="25"/>
      <w:szCs w:val="25"/>
    </w:rPr>
  </w:style>
  <w:style w:type="paragraph" w:styleId="Heading3">
    <w:name w:val="heading 3"/>
    <w:basedOn w:val="Normal"/>
    <w:next w:val="Normal"/>
    <w:link w:val="Heading3Char"/>
    <w:uiPriority w:val="99"/>
    <w:qFormat/>
    <w:locked/>
    <w:rsid w:val="00AC084F"/>
    <w:pPr>
      <w:keepNext/>
      <w:keepLines/>
      <w:spacing w:before="200" w:after="0" w:line="240" w:lineRule="auto"/>
      <w:outlineLvl w:val="2"/>
    </w:pPr>
    <w:rPr>
      <w:rFonts w:ascii="Cambria" w:eastAsia="Times New Roman" w:hAnsi="Cambria"/>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68D"/>
    <w:rPr>
      <w:rFonts w:ascii="Times New Roman" w:eastAsia="Times New Roman" w:hAnsi="Times New Roman"/>
      <w:b/>
      <w:bCs/>
      <w:kern w:val="32"/>
      <w:szCs w:val="32"/>
    </w:rPr>
  </w:style>
  <w:style w:type="character" w:customStyle="1" w:styleId="Heading2Char">
    <w:name w:val="Heading 2 Char"/>
    <w:basedOn w:val="DefaultParagraphFont"/>
    <w:link w:val="Heading2"/>
    <w:uiPriority w:val="99"/>
    <w:locked/>
    <w:rsid w:val="00AC084F"/>
    <w:rPr>
      <w:rFonts w:ascii="Verdana" w:hAnsi="Verdana" w:cs="Times New Roman"/>
      <w:b/>
      <w:bCs/>
      <w:color w:val="336666"/>
      <w:sz w:val="25"/>
      <w:szCs w:val="25"/>
    </w:rPr>
  </w:style>
  <w:style w:type="character" w:customStyle="1" w:styleId="Heading3Char">
    <w:name w:val="Heading 3 Char"/>
    <w:basedOn w:val="DefaultParagraphFont"/>
    <w:link w:val="Heading3"/>
    <w:uiPriority w:val="99"/>
    <w:semiHidden/>
    <w:locked/>
    <w:rsid w:val="00AC084F"/>
    <w:rPr>
      <w:rFonts w:ascii="Cambria" w:hAnsi="Cambria" w:cs="Times New Roman"/>
      <w:color w:val="4F81BD"/>
      <w:sz w:val="24"/>
    </w:rPr>
  </w:style>
  <w:style w:type="paragraph" w:styleId="ListParagraph">
    <w:name w:val="List Paragraph"/>
    <w:basedOn w:val="Normal"/>
    <w:uiPriority w:val="99"/>
    <w:qFormat/>
    <w:rsid w:val="00760FED"/>
    <w:pPr>
      <w:ind w:left="720"/>
    </w:pPr>
  </w:style>
  <w:style w:type="paragraph" w:styleId="BalloonText">
    <w:name w:val="Balloon Text"/>
    <w:basedOn w:val="Normal"/>
    <w:link w:val="BalloonTextChar"/>
    <w:uiPriority w:val="99"/>
    <w:semiHidden/>
    <w:rsid w:val="00CD60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E35"/>
    <w:rPr>
      <w:rFonts w:ascii="Times New Roman" w:hAnsi="Times New Roman" w:cs="Times New Roman"/>
      <w:sz w:val="2"/>
    </w:rPr>
  </w:style>
  <w:style w:type="paragraph" w:styleId="DocumentMap">
    <w:name w:val="Document Map"/>
    <w:basedOn w:val="Normal"/>
    <w:link w:val="DocumentMapChar"/>
    <w:uiPriority w:val="99"/>
    <w:semiHidden/>
    <w:rsid w:val="00C11CD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1CD1"/>
    <w:rPr>
      <w:rFonts w:ascii="Tahoma" w:hAnsi="Tahoma" w:cs="Tahoma"/>
      <w:sz w:val="16"/>
      <w:szCs w:val="16"/>
    </w:rPr>
  </w:style>
  <w:style w:type="paragraph" w:styleId="Revision">
    <w:name w:val="Revision"/>
    <w:hidden/>
    <w:uiPriority w:val="99"/>
    <w:semiHidden/>
    <w:rsid w:val="00C11CD1"/>
  </w:style>
  <w:style w:type="paragraph" w:styleId="NormalWeb">
    <w:name w:val="Normal (Web)"/>
    <w:basedOn w:val="Normal"/>
    <w:uiPriority w:val="99"/>
    <w:rsid w:val="009B06D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9B06D3"/>
    <w:rPr>
      <w:rFonts w:cs="Times New Roman"/>
      <w:b/>
      <w:bCs/>
    </w:rPr>
  </w:style>
  <w:style w:type="character" w:styleId="Hyperlink">
    <w:name w:val="Hyperlink"/>
    <w:basedOn w:val="DefaultParagraphFont"/>
    <w:uiPriority w:val="99"/>
    <w:rsid w:val="003367ED"/>
    <w:rPr>
      <w:rFonts w:cs="Times New Roman"/>
      <w:color w:val="0000FF"/>
      <w:u w:val="single"/>
    </w:rPr>
  </w:style>
  <w:style w:type="paragraph" w:styleId="BodyTextIndent2">
    <w:name w:val="Body Text Indent 2"/>
    <w:basedOn w:val="Normal"/>
    <w:link w:val="BodyTextIndent2Char"/>
    <w:uiPriority w:val="99"/>
    <w:semiHidden/>
    <w:rsid w:val="00754CD5"/>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754CD5"/>
    <w:rPr>
      <w:rFonts w:ascii="Times New Roman" w:hAnsi="Times New Roman" w:cs="Times New Roman"/>
      <w:sz w:val="20"/>
      <w:szCs w:val="20"/>
    </w:rPr>
  </w:style>
  <w:style w:type="paragraph" w:customStyle="1" w:styleId="Default">
    <w:name w:val="Default"/>
    <w:uiPriority w:val="99"/>
    <w:rsid w:val="00DB50B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217B11"/>
    <w:pPr>
      <w:tabs>
        <w:tab w:val="center" w:pos="4680"/>
        <w:tab w:val="right" w:pos="9360"/>
      </w:tabs>
    </w:pPr>
  </w:style>
  <w:style w:type="character" w:customStyle="1" w:styleId="HeaderChar">
    <w:name w:val="Header Char"/>
    <w:basedOn w:val="DefaultParagraphFont"/>
    <w:link w:val="Header"/>
    <w:uiPriority w:val="99"/>
    <w:locked/>
    <w:rsid w:val="00217B11"/>
    <w:rPr>
      <w:rFonts w:cs="Times New Roman"/>
    </w:rPr>
  </w:style>
  <w:style w:type="paragraph" w:styleId="Footer">
    <w:name w:val="footer"/>
    <w:basedOn w:val="Normal"/>
    <w:link w:val="FooterChar"/>
    <w:uiPriority w:val="99"/>
    <w:rsid w:val="00217B11"/>
    <w:pPr>
      <w:tabs>
        <w:tab w:val="center" w:pos="4680"/>
        <w:tab w:val="right" w:pos="9360"/>
      </w:tabs>
    </w:pPr>
  </w:style>
  <w:style w:type="character" w:customStyle="1" w:styleId="FooterChar">
    <w:name w:val="Footer Char"/>
    <w:basedOn w:val="DefaultParagraphFont"/>
    <w:link w:val="Footer"/>
    <w:uiPriority w:val="99"/>
    <w:locked/>
    <w:rsid w:val="00217B11"/>
    <w:rPr>
      <w:rFonts w:cs="Times New Roman"/>
    </w:rPr>
  </w:style>
  <w:style w:type="paragraph" w:styleId="Subtitle">
    <w:name w:val="Subtitle"/>
    <w:basedOn w:val="Normal"/>
    <w:link w:val="SubtitleChar"/>
    <w:uiPriority w:val="99"/>
    <w:qFormat/>
    <w:locked/>
    <w:rsid w:val="0090350C"/>
    <w:pPr>
      <w:spacing w:after="0" w:line="240" w:lineRule="auto"/>
    </w:pPr>
    <w:rPr>
      <w:rFonts w:ascii="Arial" w:eastAsia="Times New Roman" w:hAnsi="Arial" w:cs="Arial"/>
      <w:sz w:val="24"/>
      <w:szCs w:val="24"/>
      <w:u w:val="single"/>
    </w:rPr>
  </w:style>
  <w:style w:type="character" w:customStyle="1" w:styleId="SubtitleChar">
    <w:name w:val="Subtitle Char"/>
    <w:basedOn w:val="DefaultParagraphFont"/>
    <w:link w:val="Subtitle"/>
    <w:uiPriority w:val="99"/>
    <w:locked/>
    <w:rsid w:val="0090350C"/>
    <w:rPr>
      <w:rFonts w:ascii="Arial" w:hAnsi="Arial" w:cs="Arial"/>
      <w:sz w:val="24"/>
      <w:szCs w:val="24"/>
      <w:u w:val="single"/>
    </w:rPr>
  </w:style>
  <w:style w:type="character" w:customStyle="1" w:styleId="bold1">
    <w:name w:val="bold1"/>
    <w:basedOn w:val="DefaultParagraphFont"/>
    <w:uiPriority w:val="99"/>
    <w:rsid w:val="003B3AC6"/>
    <w:rPr>
      <w:rFonts w:cs="Times New Roman"/>
      <w:b/>
      <w:bCs/>
    </w:rPr>
  </w:style>
  <w:style w:type="character" w:styleId="Emphasis">
    <w:name w:val="Emphasis"/>
    <w:basedOn w:val="DefaultParagraphFont"/>
    <w:uiPriority w:val="99"/>
    <w:qFormat/>
    <w:locked/>
    <w:rsid w:val="00295FF5"/>
    <w:rPr>
      <w:rFonts w:cs="Times New Roman"/>
      <w:i/>
      <w:iCs/>
    </w:rPr>
  </w:style>
  <w:style w:type="character" w:styleId="FootnoteReference">
    <w:name w:val="footnote reference"/>
    <w:basedOn w:val="DefaultParagraphFont"/>
    <w:uiPriority w:val="99"/>
    <w:semiHidden/>
    <w:rsid w:val="0056275C"/>
    <w:rPr>
      <w:rFonts w:cs="Times New Roman"/>
    </w:rPr>
  </w:style>
  <w:style w:type="paragraph" w:styleId="ListBullet">
    <w:name w:val="List Bullet"/>
    <w:basedOn w:val="Normal"/>
    <w:uiPriority w:val="99"/>
    <w:rsid w:val="00AC084F"/>
    <w:pPr>
      <w:tabs>
        <w:tab w:val="num" w:pos="340"/>
      </w:tabs>
      <w:spacing w:after="0" w:line="240" w:lineRule="auto"/>
      <w:ind w:left="340" w:hanging="340"/>
      <w:contextualSpacing/>
    </w:pPr>
    <w:rPr>
      <w:rFonts w:ascii="Verdana" w:eastAsia="Times New Roman" w:hAnsi="Verdana" w:cs="Arial"/>
      <w:b/>
      <w:bCs/>
      <w:color w:val="000000"/>
      <w:sz w:val="24"/>
      <w:szCs w:val="20"/>
    </w:rPr>
  </w:style>
  <w:style w:type="paragraph" w:customStyle="1" w:styleId="home">
    <w:name w:val="home"/>
    <w:basedOn w:val="Normal"/>
    <w:uiPriority w:val="99"/>
    <w:rsid w:val="008475A8"/>
    <w:pPr>
      <w:spacing w:before="100" w:beforeAutospacing="1" w:after="100" w:afterAutospacing="1" w:line="240" w:lineRule="auto"/>
    </w:pPr>
    <w:rPr>
      <w:rFonts w:ascii="Times New Roman" w:eastAsia="Times New Roman" w:hAnsi="Times New Roman"/>
      <w:sz w:val="24"/>
      <w:szCs w:val="24"/>
    </w:rPr>
  </w:style>
  <w:style w:type="paragraph" w:customStyle="1" w:styleId="definition">
    <w:name w:val="definition"/>
    <w:basedOn w:val="Normal"/>
    <w:uiPriority w:val="99"/>
    <w:rsid w:val="002E028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122DD4"/>
    <w:rPr>
      <w:rFonts w:cs="Times New Roman"/>
      <w:color w:val="800080"/>
      <w:u w:val="single"/>
    </w:rPr>
  </w:style>
  <w:style w:type="paragraph" w:styleId="TOC1">
    <w:name w:val="toc 1"/>
    <w:basedOn w:val="Normal"/>
    <w:next w:val="Normal"/>
    <w:autoRedefine/>
    <w:uiPriority w:val="39"/>
    <w:locked/>
    <w:rsid w:val="00D35807"/>
    <w:pPr>
      <w:tabs>
        <w:tab w:val="left" w:pos="720"/>
        <w:tab w:val="right" w:leader="dot" w:pos="9350"/>
      </w:tabs>
    </w:pPr>
    <w:rPr>
      <w:rFonts w:ascii="Times New Roman" w:hAnsi="Times New Roman"/>
    </w:rPr>
  </w:style>
  <w:style w:type="paragraph" w:styleId="TOC2">
    <w:name w:val="toc 2"/>
    <w:basedOn w:val="Normal"/>
    <w:next w:val="Normal"/>
    <w:autoRedefine/>
    <w:uiPriority w:val="39"/>
    <w:locked/>
    <w:rsid w:val="00943E4D"/>
    <w:pPr>
      <w:ind w:left="220"/>
    </w:pPr>
  </w:style>
  <w:style w:type="paragraph" w:styleId="TOC3">
    <w:name w:val="toc 3"/>
    <w:basedOn w:val="Normal"/>
    <w:next w:val="Normal"/>
    <w:autoRedefine/>
    <w:uiPriority w:val="99"/>
    <w:locked/>
    <w:rsid w:val="00943E4D"/>
    <w:pPr>
      <w:ind w:left="440"/>
    </w:pPr>
  </w:style>
  <w:style w:type="character" w:styleId="CommentReference">
    <w:name w:val="annotation reference"/>
    <w:basedOn w:val="DefaultParagraphFont"/>
    <w:uiPriority w:val="99"/>
    <w:semiHidden/>
    <w:rsid w:val="00557B16"/>
    <w:rPr>
      <w:rFonts w:cs="Times New Roman"/>
      <w:sz w:val="16"/>
      <w:szCs w:val="16"/>
    </w:rPr>
  </w:style>
  <w:style w:type="paragraph" w:styleId="CommentText">
    <w:name w:val="annotation text"/>
    <w:basedOn w:val="Normal"/>
    <w:link w:val="CommentTextChar"/>
    <w:uiPriority w:val="99"/>
    <w:semiHidden/>
    <w:rsid w:val="00557B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7B16"/>
    <w:rPr>
      <w:rFonts w:cs="Times New Roman"/>
    </w:rPr>
  </w:style>
  <w:style w:type="paragraph" w:styleId="CommentSubject">
    <w:name w:val="annotation subject"/>
    <w:basedOn w:val="CommentText"/>
    <w:next w:val="CommentText"/>
    <w:link w:val="CommentSubjectChar"/>
    <w:uiPriority w:val="99"/>
    <w:semiHidden/>
    <w:rsid w:val="00557B16"/>
    <w:rPr>
      <w:b/>
      <w:bCs/>
    </w:rPr>
  </w:style>
  <w:style w:type="character" w:customStyle="1" w:styleId="CommentSubjectChar">
    <w:name w:val="Comment Subject Char"/>
    <w:basedOn w:val="CommentTextChar"/>
    <w:link w:val="CommentSubject"/>
    <w:uiPriority w:val="99"/>
    <w:semiHidden/>
    <w:locked/>
    <w:rsid w:val="00557B16"/>
    <w:rPr>
      <w:rFonts w:cs="Times New Roman"/>
      <w:b/>
      <w:bCs/>
    </w:rPr>
  </w:style>
  <w:style w:type="numbering" w:customStyle="1" w:styleId="StyleBulletedSymbolsymbolLeft051Hanging024">
    <w:name w:val="Style Bulleted Symbol (symbol) Left:  0.51&quot; Hanging:  0.24&quot;"/>
    <w:basedOn w:val="NoList"/>
    <w:rsid w:val="00D3580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2465">
      <w:marLeft w:val="0"/>
      <w:marRight w:val="0"/>
      <w:marTop w:val="0"/>
      <w:marBottom w:val="0"/>
      <w:divBdr>
        <w:top w:val="none" w:sz="0" w:space="0" w:color="auto"/>
        <w:left w:val="none" w:sz="0" w:space="0" w:color="auto"/>
        <w:bottom w:val="none" w:sz="0" w:space="0" w:color="auto"/>
        <w:right w:val="none" w:sz="0" w:space="0" w:color="auto"/>
      </w:divBdr>
    </w:div>
    <w:div w:id="1100292469">
      <w:marLeft w:val="0"/>
      <w:marRight w:val="0"/>
      <w:marTop w:val="0"/>
      <w:marBottom w:val="0"/>
      <w:divBdr>
        <w:top w:val="none" w:sz="0" w:space="0" w:color="auto"/>
        <w:left w:val="none" w:sz="0" w:space="0" w:color="auto"/>
        <w:bottom w:val="none" w:sz="0" w:space="0" w:color="auto"/>
        <w:right w:val="none" w:sz="0" w:space="0" w:color="auto"/>
      </w:divBdr>
    </w:div>
    <w:div w:id="1100292471">
      <w:marLeft w:val="0"/>
      <w:marRight w:val="0"/>
      <w:marTop w:val="0"/>
      <w:marBottom w:val="0"/>
      <w:divBdr>
        <w:top w:val="none" w:sz="0" w:space="0" w:color="auto"/>
        <w:left w:val="none" w:sz="0" w:space="0" w:color="auto"/>
        <w:bottom w:val="none" w:sz="0" w:space="0" w:color="auto"/>
        <w:right w:val="none" w:sz="0" w:space="0" w:color="auto"/>
      </w:divBdr>
    </w:div>
    <w:div w:id="1100292474">
      <w:marLeft w:val="0"/>
      <w:marRight w:val="0"/>
      <w:marTop w:val="0"/>
      <w:marBottom w:val="0"/>
      <w:divBdr>
        <w:top w:val="none" w:sz="0" w:space="0" w:color="auto"/>
        <w:left w:val="none" w:sz="0" w:space="0" w:color="auto"/>
        <w:bottom w:val="none" w:sz="0" w:space="0" w:color="auto"/>
        <w:right w:val="none" w:sz="0" w:space="0" w:color="auto"/>
      </w:divBdr>
      <w:divsChild>
        <w:div w:id="1100292493">
          <w:marLeft w:val="0"/>
          <w:marRight w:val="0"/>
          <w:marTop w:val="0"/>
          <w:marBottom w:val="0"/>
          <w:divBdr>
            <w:top w:val="none" w:sz="0" w:space="0" w:color="auto"/>
            <w:left w:val="none" w:sz="0" w:space="0" w:color="auto"/>
            <w:bottom w:val="none" w:sz="0" w:space="0" w:color="auto"/>
            <w:right w:val="none" w:sz="0" w:space="0" w:color="auto"/>
          </w:divBdr>
          <w:divsChild>
            <w:div w:id="1100292478">
              <w:marLeft w:val="0"/>
              <w:marRight w:val="0"/>
              <w:marTop w:val="0"/>
              <w:marBottom w:val="0"/>
              <w:divBdr>
                <w:top w:val="none" w:sz="0" w:space="0" w:color="auto"/>
                <w:left w:val="none" w:sz="0" w:space="0" w:color="auto"/>
                <w:bottom w:val="none" w:sz="0" w:space="0" w:color="auto"/>
                <w:right w:val="none" w:sz="0" w:space="0" w:color="auto"/>
              </w:divBdr>
              <w:divsChild>
                <w:div w:id="1100292470">
                  <w:marLeft w:val="720"/>
                  <w:marRight w:val="720"/>
                  <w:marTop w:val="100"/>
                  <w:marBottom w:val="100"/>
                  <w:divBdr>
                    <w:top w:val="none" w:sz="0" w:space="0" w:color="auto"/>
                    <w:left w:val="none" w:sz="0" w:space="0" w:color="auto"/>
                    <w:bottom w:val="none" w:sz="0" w:space="0" w:color="auto"/>
                    <w:right w:val="none" w:sz="0" w:space="0" w:color="auto"/>
                  </w:divBdr>
                </w:div>
                <w:div w:id="1100292473">
                  <w:marLeft w:val="720"/>
                  <w:marRight w:val="720"/>
                  <w:marTop w:val="100"/>
                  <w:marBottom w:val="100"/>
                  <w:divBdr>
                    <w:top w:val="none" w:sz="0" w:space="0" w:color="auto"/>
                    <w:left w:val="none" w:sz="0" w:space="0" w:color="auto"/>
                    <w:bottom w:val="none" w:sz="0" w:space="0" w:color="auto"/>
                    <w:right w:val="none" w:sz="0" w:space="0" w:color="auto"/>
                  </w:divBdr>
                  <w:divsChild>
                    <w:div w:id="1100292462">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479">
                  <w:marLeft w:val="720"/>
                  <w:marRight w:val="720"/>
                  <w:marTop w:val="100"/>
                  <w:marBottom w:val="100"/>
                  <w:divBdr>
                    <w:top w:val="none" w:sz="0" w:space="0" w:color="auto"/>
                    <w:left w:val="none" w:sz="0" w:space="0" w:color="auto"/>
                    <w:bottom w:val="none" w:sz="0" w:space="0" w:color="auto"/>
                    <w:right w:val="none" w:sz="0" w:space="0" w:color="auto"/>
                  </w:divBdr>
                </w:div>
                <w:div w:id="1100292483">
                  <w:marLeft w:val="720"/>
                  <w:marRight w:val="720"/>
                  <w:marTop w:val="100"/>
                  <w:marBottom w:val="100"/>
                  <w:divBdr>
                    <w:top w:val="none" w:sz="0" w:space="0" w:color="auto"/>
                    <w:left w:val="none" w:sz="0" w:space="0" w:color="auto"/>
                    <w:bottom w:val="none" w:sz="0" w:space="0" w:color="auto"/>
                    <w:right w:val="none" w:sz="0" w:space="0" w:color="auto"/>
                  </w:divBdr>
                  <w:divsChild>
                    <w:div w:id="1100292505">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491">
                  <w:marLeft w:val="720"/>
                  <w:marRight w:val="720"/>
                  <w:marTop w:val="100"/>
                  <w:marBottom w:val="100"/>
                  <w:divBdr>
                    <w:top w:val="none" w:sz="0" w:space="0" w:color="auto"/>
                    <w:left w:val="none" w:sz="0" w:space="0" w:color="auto"/>
                    <w:bottom w:val="none" w:sz="0" w:space="0" w:color="auto"/>
                    <w:right w:val="none" w:sz="0" w:space="0" w:color="auto"/>
                  </w:divBdr>
                </w:div>
                <w:div w:id="1100292492">
                  <w:marLeft w:val="720"/>
                  <w:marRight w:val="720"/>
                  <w:marTop w:val="100"/>
                  <w:marBottom w:val="100"/>
                  <w:divBdr>
                    <w:top w:val="none" w:sz="0" w:space="0" w:color="auto"/>
                    <w:left w:val="none" w:sz="0" w:space="0" w:color="auto"/>
                    <w:bottom w:val="none" w:sz="0" w:space="0" w:color="auto"/>
                    <w:right w:val="none" w:sz="0" w:space="0" w:color="auto"/>
                  </w:divBdr>
                  <w:divsChild>
                    <w:div w:id="1100292495">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496">
                  <w:marLeft w:val="720"/>
                  <w:marRight w:val="720"/>
                  <w:marTop w:val="100"/>
                  <w:marBottom w:val="100"/>
                  <w:divBdr>
                    <w:top w:val="none" w:sz="0" w:space="0" w:color="auto"/>
                    <w:left w:val="none" w:sz="0" w:space="0" w:color="auto"/>
                    <w:bottom w:val="none" w:sz="0" w:space="0" w:color="auto"/>
                    <w:right w:val="none" w:sz="0" w:space="0" w:color="auto"/>
                  </w:divBdr>
                </w:div>
                <w:div w:id="1100292503">
                  <w:marLeft w:val="720"/>
                  <w:marRight w:val="720"/>
                  <w:marTop w:val="100"/>
                  <w:marBottom w:val="100"/>
                  <w:divBdr>
                    <w:top w:val="none" w:sz="0" w:space="0" w:color="auto"/>
                    <w:left w:val="none" w:sz="0" w:space="0" w:color="auto"/>
                    <w:bottom w:val="none" w:sz="0" w:space="0" w:color="auto"/>
                    <w:right w:val="none" w:sz="0" w:space="0" w:color="auto"/>
                  </w:divBdr>
                  <w:divsChild>
                    <w:div w:id="1100292504">
                      <w:marLeft w:val="720"/>
                      <w:marRight w:val="720"/>
                      <w:marTop w:val="100"/>
                      <w:marBottom w:val="100"/>
                      <w:divBdr>
                        <w:top w:val="none" w:sz="0" w:space="0" w:color="auto"/>
                        <w:left w:val="none" w:sz="0" w:space="0" w:color="auto"/>
                        <w:bottom w:val="none" w:sz="0" w:space="0" w:color="auto"/>
                        <w:right w:val="none" w:sz="0" w:space="0" w:color="auto"/>
                      </w:divBdr>
                    </w:div>
                  </w:divsChild>
                </w:div>
                <w:div w:id="11002925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029247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002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477">
      <w:marLeft w:val="0"/>
      <w:marRight w:val="0"/>
      <w:marTop w:val="0"/>
      <w:marBottom w:val="0"/>
      <w:divBdr>
        <w:top w:val="none" w:sz="0" w:space="0" w:color="auto"/>
        <w:left w:val="none" w:sz="0" w:space="0" w:color="auto"/>
        <w:bottom w:val="none" w:sz="0" w:space="0" w:color="auto"/>
        <w:right w:val="none" w:sz="0" w:space="0" w:color="auto"/>
      </w:divBdr>
      <w:divsChild>
        <w:div w:id="1100292502">
          <w:marLeft w:val="0"/>
          <w:marRight w:val="0"/>
          <w:marTop w:val="0"/>
          <w:marBottom w:val="0"/>
          <w:divBdr>
            <w:top w:val="none" w:sz="0" w:space="0" w:color="auto"/>
            <w:left w:val="none" w:sz="0" w:space="0" w:color="auto"/>
            <w:bottom w:val="none" w:sz="0" w:space="0" w:color="auto"/>
            <w:right w:val="none" w:sz="0" w:space="0" w:color="auto"/>
          </w:divBdr>
          <w:divsChild>
            <w:div w:id="1100292485">
              <w:marLeft w:val="0"/>
              <w:marRight w:val="0"/>
              <w:marTop w:val="0"/>
              <w:marBottom w:val="0"/>
              <w:divBdr>
                <w:top w:val="none" w:sz="0" w:space="0" w:color="auto"/>
                <w:left w:val="none" w:sz="0" w:space="0" w:color="auto"/>
                <w:bottom w:val="none" w:sz="0" w:space="0" w:color="auto"/>
                <w:right w:val="none" w:sz="0" w:space="0" w:color="auto"/>
              </w:divBdr>
              <w:divsChild>
                <w:div w:id="1100292514">
                  <w:marLeft w:val="0"/>
                  <w:marRight w:val="0"/>
                  <w:marTop w:val="0"/>
                  <w:marBottom w:val="0"/>
                  <w:divBdr>
                    <w:top w:val="none" w:sz="0" w:space="0" w:color="auto"/>
                    <w:left w:val="none" w:sz="0" w:space="0" w:color="auto"/>
                    <w:bottom w:val="none" w:sz="0" w:space="0" w:color="auto"/>
                    <w:right w:val="none" w:sz="0" w:space="0" w:color="auto"/>
                  </w:divBdr>
                  <w:divsChild>
                    <w:div w:id="1100292482">
                      <w:marLeft w:val="0"/>
                      <w:marRight w:val="0"/>
                      <w:marTop w:val="0"/>
                      <w:marBottom w:val="0"/>
                      <w:divBdr>
                        <w:top w:val="none" w:sz="0" w:space="0" w:color="auto"/>
                        <w:left w:val="none" w:sz="0" w:space="0" w:color="auto"/>
                        <w:bottom w:val="none" w:sz="0" w:space="0" w:color="auto"/>
                        <w:right w:val="none" w:sz="0" w:space="0" w:color="auto"/>
                      </w:divBdr>
                      <w:divsChild>
                        <w:div w:id="1100292509">
                          <w:marLeft w:val="0"/>
                          <w:marRight w:val="0"/>
                          <w:marTop w:val="0"/>
                          <w:marBottom w:val="0"/>
                          <w:divBdr>
                            <w:top w:val="none" w:sz="0" w:space="0" w:color="auto"/>
                            <w:left w:val="none" w:sz="0" w:space="0" w:color="auto"/>
                            <w:bottom w:val="none" w:sz="0" w:space="0" w:color="auto"/>
                            <w:right w:val="none" w:sz="0" w:space="0" w:color="auto"/>
                          </w:divBdr>
                          <w:divsChild>
                            <w:div w:id="1100292513">
                              <w:marLeft w:val="0"/>
                              <w:marRight w:val="0"/>
                              <w:marTop w:val="0"/>
                              <w:marBottom w:val="0"/>
                              <w:divBdr>
                                <w:top w:val="none" w:sz="0" w:space="0" w:color="auto"/>
                                <w:left w:val="none" w:sz="0" w:space="0" w:color="auto"/>
                                <w:bottom w:val="none" w:sz="0" w:space="0" w:color="auto"/>
                                <w:right w:val="none" w:sz="0" w:space="0" w:color="auto"/>
                              </w:divBdr>
                              <w:divsChild>
                                <w:div w:id="11002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92480">
      <w:marLeft w:val="0"/>
      <w:marRight w:val="0"/>
      <w:marTop w:val="0"/>
      <w:marBottom w:val="0"/>
      <w:divBdr>
        <w:top w:val="none" w:sz="0" w:space="0" w:color="auto"/>
        <w:left w:val="none" w:sz="0" w:space="0" w:color="auto"/>
        <w:bottom w:val="none" w:sz="0" w:space="0" w:color="auto"/>
        <w:right w:val="none" w:sz="0" w:space="0" w:color="auto"/>
      </w:divBdr>
    </w:div>
    <w:div w:id="1100292481">
      <w:marLeft w:val="0"/>
      <w:marRight w:val="0"/>
      <w:marTop w:val="0"/>
      <w:marBottom w:val="0"/>
      <w:divBdr>
        <w:top w:val="none" w:sz="0" w:space="0" w:color="auto"/>
        <w:left w:val="none" w:sz="0" w:space="0" w:color="auto"/>
        <w:bottom w:val="none" w:sz="0" w:space="0" w:color="auto"/>
        <w:right w:val="none" w:sz="0" w:space="0" w:color="auto"/>
      </w:divBdr>
    </w:div>
    <w:div w:id="1100292486">
      <w:marLeft w:val="0"/>
      <w:marRight w:val="0"/>
      <w:marTop w:val="0"/>
      <w:marBottom w:val="0"/>
      <w:divBdr>
        <w:top w:val="none" w:sz="0" w:space="0" w:color="auto"/>
        <w:left w:val="none" w:sz="0" w:space="0" w:color="auto"/>
        <w:bottom w:val="none" w:sz="0" w:space="0" w:color="auto"/>
        <w:right w:val="none" w:sz="0" w:space="0" w:color="auto"/>
      </w:divBdr>
    </w:div>
    <w:div w:id="1100292489">
      <w:marLeft w:val="0"/>
      <w:marRight w:val="0"/>
      <w:marTop w:val="0"/>
      <w:marBottom w:val="0"/>
      <w:divBdr>
        <w:top w:val="none" w:sz="0" w:space="0" w:color="auto"/>
        <w:left w:val="none" w:sz="0" w:space="0" w:color="auto"/>
        <w:bottom w:val="none" w:sz="0" w:space="0" w:color="auto"/>
        <w:right w:val="none" w:sz="0" w:space="0" w:color="auto"/>
      </w:divBdr>
      <w:divsChild>
        <w:div w:id="1100292501">
          <w:marLeft w:val="0"/>
          <w:marRight w:val="0"/>
          <w:marTop w:val="0"/>
          <w:marBottom w:val="0"/>
          <w:divBdr>
            <w:top w:val="none" w:sz="0" w:space="0" w:color="auto"/>
            <w:left w:val="none" w:sz="0" w:space="0" w:color="auto"/>
            <w:bottom w:val="none" w:sz="0" w:space="0" w:color="auto"/>
            <w:right w:val="none" w:sz="0" w:space="0" w:color="auto"/>
          </w:divBdr>
        </w:div>
      </w:divsChild>
    </w:div>
    <w:div w:id="1100292494">
      <w:marLeft w:val="0"/>
      <w:marRight w:val="0"/>
      <w:marTop w:val="0"/>
      <w:marBottom w:val="0"/>
      <w:divBdr>
        <w:top w:val="none" w:sz="0" w:space="0" w:color="auto"/>
        <w:left w:val="none" w:sz="0" w:space="0" w:color="auto"/>
        <w:bottom w:val="none" w:sz="0" w:space="0" w:color="auto"/>
        <w:right w:val="none" w:sz="0" w:space="0" w:color="auto"/>
      </w:divBdr>
      <w:divsChild>
        <w:div w:id="1100292487">
          <w:marLeft w:val="0"/>
          <w:marRight w:val="0"/>
          <w:marTop w:val="0"/>
          <w:marBottom w:val="0"/>
          <w:divBdr>
            <w:top w:val="none" w:sz="0" w:space="0" w:color="auto"/>
            <w:left w:val="none" w:sz="0" w:space="0" w:color="auto"/>
            <w:bottom w:val="none" w:sz="0" w:space="0" w:color="auto"/>
            <w:right w:val="none" w:sz="0" w:space="0" w:color="auto"/>
          </w:divBdr>
          <w:divsChild>
            <w:div w:id="11002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497">
      <w:marLeft w:val="0"/>
      <w:marRight w:val="0"/>
      <w:marTop w:val="0"/>
      <w:marBottom w:val="0"/>
      <w:divBdr>
        <w:top w:val="none" w:sz="0" w:space="0" w:color="auto"/>
        <w:left w:val="none" w:sz="0" w:space="0" w:color="auto"/>
        <w:bottom w:val="none" w:sz="0" w:space="0" w:color="auto"/>
        <w:right w:val="none" w:sz="0" w:space="0" w:color="auto"/>
      </w:divBdr>
    </w:div>
    <w:div w:id="1100292498">
      <w:marLeft w:val="0"/>
      <w:marRight w:val="0"/>
      <w:marTop w:val="0"/>
      <w:marBottom w:val="0"/>
      <w:divBdr>
        <w:top w:val="none" w:sz="0" w:space="0" w:color="auto"/>
        <w:left w:val="none" w:sz="0" w:space="0" w:color="auto"/>
        <w:bottom w:val="none" w:sz="0" w:space="0" w:color="auto"/>
        <w:right w:val="none" w:sz="0" w:space="0" w:color="auto"/>
      </w:divBdr>
      <w:divsChild>
        <w:div w:id="1100292463">
          <w:marLeft w:val="0"/>
          <w:marRight w:val="0"/>
          <w:marTop w:val="0"/>
          <w:marBottom w:val="0"/>
          <w:divBdr>
            <w:top w:val="none" w:sz="0" w:space="0" w:color="auto"/>
            <w:left w:val="none" w:sz="0" w:space="0" w:color="auto"/>
            <w:bottom w:val="none" w:sz="0" w:space="0" w:color="auto"/>
            <w:right w:val="none" w:sz="0" w:space="0" w:color="auto"/>
          </w:divBdr>
          <w:divsChild>
            <w:div w:id="11002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499">
      <w:marLeft w:val="0"/>
      <w:marRight w:val="0"/>
      <w:marTop w:val="0"/>
      <w:marBottom w:val="0"/>
      <w:divBdr>
        <w:top w:val="none" w:sz="0" w:space="0" w:color="auto"/>
        <w:left w:val="none" w:sz="0" w:space="0" w:color="auto"/>
        <w:bottom w:val="none" w:sz="0" w:space="0" w:color="auto"/>
        <w:right w:val="none" w:sz="0" w:space="0" w:color="auto"/>
      </w:divBdr>
      <w:divsChild>
        <w:div w:id="1100292490">
          <w:marLeft w:val="0"/>
          <w:marRight w:val="0"/>
          <w:marTop w:val="0"/>
          <w:marBottom w:val="0"/>
          <w:divBdr>
            <w:top w:val="none" w:sz="0" w:space="0" w:color="auto"/>
            <w:left w:val="none" w:sz="0" w:space="0" w:color="auto"/>
            <w:bottom w:val="none" w:sz="0" w:space="0" w:color="auto"/>
            <w:right w:val="none" w:sz="0" w:space="0" w:color="auto"/>
          </w:divBdr>
          <w:divsChild>
            <w:div w:id="11002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2506">
      <w:marLeft w:val="0"/>
      <w:marRight w:val="0"/>
      <w:marTop w:val="0"/>
      <w:marBottom w:val="0"/>
      <w:divBdr>
        <w:top w:val="none" w:sz="0" w:space="0" w:color="auto"/>
        <w:left w:val="none" w:sz="0" w:space="0" w:color="auto"/>
        <w:bottom w:val="none" w:sz="0" w:space="0" w:color="auto"/>
        <w:right w:val="none" w:sz="0" w:space="0" w:color="auto"/>
      </w:divBdr>
    </w:div>
    <w:div w:id="1100292511">
      <w:marLeft w:val="0"/>
      <w:marRight w:val="0"/>
      <w:marTop w:val="0"/>
      <w:marBottom w:val="0"/>
      <w:divBdr>
        <w:top w:val="none" w:sz="0" w:space="0" w:color="auto"/>
        <w:left w:val="none" w:sz="0" w:space="0" w:color="auto"/>
        <w:bottom w:val="none" w:sz="0" w:space="0" w:color="auto"/>
        <w:right w:val="none" w:sz="0" w:space="0" w:color="auto"/>
      </w:divBdr>
      <w:divsChild>
        <w:div w:id="1100292515">
          <w:marLeft w:val="0"/>
          <w:marRight w:val="0"/>
          <w:marTop w:val="0"/>
          <w:marBottom w:val="0"/>
          <w:divBdr>
            <w:top w:val="none" w:sz="0" w:space="0" w:color="auto"/>
            <w:left w:val="none" w:sz="0" w:space="0" w:color="auto"/>
            <w:bottom w:val="none" w:sz="0" w:space="0" w:color="auto"/>
            <w:right w:val="none" w:sz="0" w:space="0" w:color="auto"/>
          </w:divBdr>
          <w:divsChild>
            <w:div w:id="1100292468">
              <w:marLeft w:val="0"/>
              <w:marRight w:val="0"/>
              <w:marTop w:val="0"/>
              <w:marBottom w:val="0"/>
              <w:divBdr>
                <w:top w:val="none" w:sz="0" w:space="0" w:color="auto"/>
                <w:left w:val="none" w:sz="0" w:space="0" w:color="auto"/>
                <w:bottom w:val="none" w:sz="0" w:space="0" w:color="auto"/>
                <w:right w:val="none" w:sz="0" w:space="0" w:color="auto"/>
              </w:divBdr>
              <w:divsChild>
                <w:div w:id="1100292475">
                  <w:marLeft w:val="0"/>
                  <w:marRight w:val="0"/>
                  <w:marTop w:val="0"/>
                  <w:marBottom w:val="0"/>
                  <w:divBdr>
                    <w:top w:val="none" w:sz="0" w:space="0" w:color="auto"/>
                    <w:left w:val="none" w:sz="0" w:space="0" w:color="auto"/>
                    <w:bottom w:val="none" w:sz="0" w:space="0" w:color="auto"/>
                    <w:right w:val="none" w:sz="0" w:space="0" w:color="auto"/>
                  </w:divBdr>
                  <w:divsChild>
                    <w:div w:id="1100292472">
                      <w:marLeft w:val="0"/>
                      <w:marRight w:val="0"/>
                      <w:marTop w:val="0"/>
                      <w:marBottom w:val="0"/>
                      <w:divBdr>
                        <w:top w:val="none" w:sz="0" w:space="0" w:color="auto"/>
                        <w:left w:val="none" w:sz="0" w:space="0" w:color="auto"/>
                        <w:bottom w:val="none" w:sz="0" w:space="0" w:color="auto"/>
                        <w:right w:val="none" w:sz="0" w:space="0" w:color="auto"/>
                      </w:divBdr>
                      <w:divsChild>
                        <w:div w:id="1100292507">
                          <w:marLeft w:val="0"/>
                          <w:marRight w:val="0"/>
                          <w:marTop w:val="0"/>
                          <w:marBottom w:val="0"/>
                          <w:divBdr>
                            <w:top w:val="none" w:sz="0" w:space="0" w:color="auto"/>
                            <w:left w:val="none" w:sz="0" w:space="0" w:color="auto"/>
                            <w:bottom w:val="none" w:sz="0" w:space="0" w:color="auto"/>
                            <w:right w:val="none" w:sz="0" w:space="0" w:color="auto"/>
                          </w:divBdr>
                          <w:divsChild>
                            <w:div w:id="1100292500">
                              <w:marLeft w:val="0"/>
                              <w:marRight w:val="0"/>
                              <w:marTop w:val="0"/>
                              <w:marBottom w:val="0"/>
                              <w:divBdr>
                                <w:top w:val="none" w:sz="0" w:space="0" w:color="auto"/>
                                <w:left w:val="none" w:sz="0" w:space="0" w:color="auto"/>
                                <w:bottom w:val="none" w:sz="0" w:space="0" w:color="auto"/>
                                <w:right w:val="none" w:sz="0" w:space="0" w:color="auto"/>
                              </w:divBdr>
                              <w:divsChild>
                                <w:div w:id="11002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sites/default/files/omb/financial/grant_reform/proposed-omb-uniform-guidance-for-federal-financial-assist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s.edu/grants/proposals/r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fca.edu/humansubjects" TargetMode="External"/><Relationship Id="rId5" Type="http://schemas.openxmlformats.org/officeDocument/2006/relationships/settings" Target="settings.xml"/><Relationship Id="rId15" Type="http://schemas.openxmlformats.org/officeDocument/2006/relationships/hyperlink" Target="http://www.whitehouse.gov/sites/default/files/omb/assets/a133/a133_revised_2007.pdf" TargetMode="External"/><Relationship Id="rId10" Type="http://schemas.openxmlformats.org/officeDocument/2006/relationships/hyperlink" Target="http://www.uis.edu/grants/proposals/internal.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hitehouse.gov/omb/circulars/a110/a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4548-FFEC-4C8A-A118-CF26C1B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10509</Words>
  <Characters>59907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Pre-Award and Post-Award Policies</vt:lpstr>
    </vt:vector>
  </TitlesOfParts>
  <Company>KPMG</Company>
  <LinksUpToDate>false</LinksUpToDate>
  <CharactersWithSpaces>70276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and Post-Award Policies</dc:title>
  <dc:creator>KPMG</dc:creator>
  <cp:lastModifiedBy>USF</cp:lastModifiedBy>
  <cp:revision>2</cp:revision>
  <cp:lastPrinted>2014-12-03T18:37:00Z</cp:lastPrinted>
  <dcterms:created xsi:type="dcterms:W3CDTF">2015-07-29T17:45:00Z</dcterms:created>
  <dcterms:modified xsi:type="dcterms:W3CDTF">2015-07-29T17:45:00Z</dcterms:modified>
</cp:coreProperties>
</file>