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BC" w:rsidRPr="0004568A" w:rsidRDefault="000D6FBF" w:rsidP="000A05BC">
      <w:pPr>
        <w:rPr>
          <w:rFonts w:cs="Arial"/>
          <w:b/>
          <w:bCs/>
          <w:sz w:val="40"/>
        </w:rPr>
      </w:pPr>
      <w:r>
        <w:rPr>
          <w:rFonts w:cs="Arial"/>
          <w:b/>
          <w:bCs/>
          <w:sz w:val="40"/>
        </w:rPr>
        <w:t xml:space="preserve">BSBA </w:t>
      </w:r>
      <w:r w:rsidR="000A05BC">
        <w:rPr>
          <w:rFonts w:cs="Arial"/>
          <w:b/>
          <w:bCs/>
          <w:sz w:val="40"/>
        </w:rPr>
        <w:t xml:space="preserve">AY </w:t>
      </w:r>
      <w:r>
        <w:rPr>
          <w:rFonts w:cs="Arial"/>
          <w:b/>
          <w:bCs/>
          <w:sz w:val="40"/>
        </w:rPr>
        <w:t>2016-2017</w:t>
      </w:r>
      <w:r w:rsidR="000A05BC">
        <w:rPr>
          <w:rFonts w:cs="Arial"/>
          <w:b/>
          <w:bCs/>
          <w:sz w:val="40"/>
        </w:rPr>
        <w:t xml:space="preserve"> Assessment</w:t>
      </w:r>
    </w:p>
    <w:p w:rsidR="000A05BC" w:rsidRPr="00187335" w:rsidRDefault="000A05BC" w:rsidP="000A05BC">
      <w:pPr>
        <w:rPr>
          <w:rFonts w:cs="Arial"/>
          <w:b/>
          <w:sz w:val="24"/>
        </w:rPr>
      </w:pPr>
      <w:r w:rsidRPr="00187335">
        <w:rPr>
          <w:rFonts w:cs="Arial"/>
          <w:b/>
          <w:bCs/>
          <w:i/>
          <w:sz w:val="28"/>
        </w:rPr>
        <w:t>Phase 1: Assessment Plan</w:t>
      </w:r>
    </w:p>
    <w:p w:rsidR="000A05BC" w:rsidRDefault="000A05BC" w:rsidP="000A05BC">
      <w:r w:rsidRPr="00E457D8">
        <w:rPr>
          <w:rFonts w:cs="Arial"/>
          <w:b/>
        </w:rPr>
        <w:t>Learning Outcome</w:t>
      </w:r>
      <w:r>
        <w:rPr>
          <w:rFonts w:cs="Arial"/>
          <w:b/>
        </w:rPr>
        <w:t xml:space="preserve"> assessed:</w:t>
      </w:r>
      <w:r w:rsidRPr="00E457D8">
        <w:t xml:space="preserve"> </w:t>
      </w:r>
    </w:p>
    <w:p w:rsidR="000D6FBF" w:rsidRPr="00E933DD" w:rsidRDefault="000D6FBF" w:rsidP="000D6FBF">
      <w:pPr>
        <w:ind w:left="360"/>
        <w:rPr>
          <w:b/>
          <w:sz w:val="24"/>
          <w:szCs w:val="24"/>
        </w:rPr>
      </w:pPr>
      <w:r w:rsidRPr="00E933DD">
        <w:rPr>
          <w:b/>
          <w:sz w:val="24"/>
          <w:szCs w:val="24"/>
        </w:rPr>
        <w:t>BSBA</w:t>
      </w:r>
      <w:r w:rsidR="000A05BC" w:rsidRPr="00E933DD">
        <w:rPr>
          <w:b/>
          <w:sz w:val="24"/>
          <w:szCs w:val="24"/>
        </w:rPr>
        <w:t xml:space="preserve"> Learning Outcome </w:t>
      </w:r>
      <w:r w:rsidR="00BA25C2" w:rsidRPr="00E933DD">
        <w:rPr>
          <w:b/>
          <w:sz w:val="24"/>
          <w:szCs w:val="24"/>
        </w:rPr>
        <w:t>#</w:t>
      </w:r>
      <w:r w:rsidRPr="00E933DD">
        <w:rPr>
          <w:b/>
          <w:sz w:val="24"/>
          <w:szCs w:val="24"/>
        </w:rPr>
        <w:t>11</w:t>
      </w:r>
      <w:r w:rsidR="000A05BC" w:rsidRPr="00E933DD">
        <w:rPr>
          <w:b/>
          <w:sz w:val="24"/>
          <w:szCs w:val="24"/>
        </w:rPr>
        <w:t xml:space="preserve">: </w:t>
      </w:r>
      <w:r w:rsidRPr="00E933DD">
        <w:rPr>
          <w:b/>
          <w:sz w:val="24"/>
          <w:szCs w:val="24"/>
        </w:rPr>
        <w:t>Ethical and Legal Behavior, and Social Responsibility</w:t>
      </w:r>
    </w:p>
    <w:p w:rsidR="000D6FBF" w:rsidRPr="00E933DD" w:rsidRDefault="000D6FBF" w:rsidP="000D6FBF">
      <w:pPr>
        <w:ind w:left="360"/>
        <w:rPr>
          <w:sz w:val="24"/>
          <w:szCs w:val="24"/>
        </w:rPr>
      </w:pPr>
      <w:r w:rsidRPr="00E933DD">
        <w:rPr>
          <w:sz w:val="24"/>
          <w:szCs w:val="24"/>
        </w:rPr>
        <w:t>Recognize and analyze ethical, legal and social implications of management decisions and devise appropriate responses.</w:t>
      </w:r>
    </w:p>
    <w:p w:rsidR="000D6FBF" w:rsidRPr="00E933DD" w:rsidRDefault="000D6FBF" w:rsidP="000D6FBF">
      <w:pPr>
        <w:ind w:left="360"/>
        <w:rPr>
          <w:sz w:val="24"/>
          <w:szCs w:val="24"/>
        </w:rPr>
      </w:pPr>
      <w:r w:rsidRPr="00E933DD">
        <w:rPr>
          <w:b/>
          <w:sz w:val="24"/>
          <w:szCs w:val="24"/>
        </w:rPr>
        <w:t>Measurable Traits</w:t>
      </w:r>
      <w:r w:rsidRPr="00E933DD">
        <w:rPr>
          <w:sz w:val="24"/>
          <w:szCs w:val="24"/>
        </w:rPr>
        <w:t xml:space="preserve"> for Business law learning Outcome LO 2b:</w:t>
      </w:r>
    </w:p>
    <w:p w:rsidR="000D6FBF" w:rsidRPr="00E933DD" w:rsidRDefault="000D6FBF" w:rsidP="000D6FBF">
      <w:pPr>
        <w:ind w:left="360"/>
        <w:rPr>
          <w:sz w:val="24"/>
          <w:szCs w:val="24"/>
        </w:rPr>
      </w:pPr>
      <w:r w:rsidRPr="00E933DD">
        <w:rPr>
          <w:sz w:val="24"/>
          <w:szCs w:val="24"/>
        </w:rPr>
        <w:t>Students will draw legal conclusions based on sound legal analysis; identify the elements of a valid, enforceable contract and defenses to contract formation; and, understand the nature and purposes of legal remedies.</w:t>
      </w:r>
    </w:p>
    <w:p w:rsidR="000A05BC" w:rsidRDefault="00E457D8" w:rsidP="000D6FBF">
      <w:pPr>
        <w:ind w:left="360"/>
        <w:rPr>
          <w:rFonts w:cs="Arial"/>
          <w:b/>
        </w:rPr>
      </w:pPr>
      <w:r w:rsidRPr="00714359">
        <w:rPr>
          <w:rFonts w:cs="Arial"/>
          <w:b/>
        </w:rPr>
        <w:t xml:space="preserve">Assessment Method: </w:t>
      </w:r>
    </w:p>
    <w:p w:rsidR="000D6FBF" w:rsidRDefault="000D6FBF" w:rsidP="00E933DD">
      <w:pPr>
        <w:pStyle w:val="NoSpacing"/>
      </w:pPr>
      <w:r>
        <w:t>Measurement will be the performance on a set of 10 objective questions. Based upon their percentage scores, student performance will fall into o</w:t>
      </w:r>
      <w:r w:rsidR="00E933DD">
        <w:t xml:space="preserve">ne of three categories, see test key, below. </w:t>
      </w:r>
    </w:p>
    <w:p w:rsidR="000D6FBF" w:rsidRDefault="000D6FBF" w:rsidP="000D6FBF">
      <w:pPr>
        <w:pStyle w:val="NoSpacing"/>
      </w:pPr>
    </w:p>
    <w:p w:rsidR="000D6FBF" w:rsidRDefault="000D6FBF" w:rsidP="000D6FBF">
      <w:pPr>
        <w:pStyle w:val="NoSpacing"/>
      </w:pPr>
      <w:r>
        <w:t xml:space="preserve">The objective questions </w:t>
      </w:r>
      <w:proofErr w:type="gramStart"/>
      <w:r>
        <w:t>may be administered</w:t>
      </w:r>
      <w:proofErr w:type="gramEnd"/>
      <w:r>
        <w:t xml:space="preserve"> as part of an exam, a quiz or an extra credit assignment given in at least one section of each BUS 301 instructor’s class.</w:t>
      </w:r>
    </w:p>
    <w:p w:rsidR="00E933DD" w:rsidRDefault="00E933DD" w:rsidP="00714359">
      <w:pPr>
        <w:rPr>
          <w:rFonts w:cs="Arial"/>
          <w:b/>
        </w:rPr>
      </w:pP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BA25C2" w:rsidRPr="000A05BC" w:rsidRDefault="00BA25C2" w:rsidP="000A05BC">
      <w:pPr>
        <w:ind w:left="360"/>
        <w:rPr>
          <w:rFonts w:cs="Arial"/>
        </w:rPr>
      </w:pPr>
      <w:proofErr w:type="gramStart"/>
      <w:r>
        <w:rPr>
          <w:rFonts w:cs="Arial"/>
        </w:rPr>
        <w:t>80%</w:t>
      </w:r>
      <w:proofErr w:type="gramEnd"/>
      <w:r>
        <w:rPr>
          <w:rFonts w:cs="Arial"/>
        </w:rPr>
        <w:t xml:space="preserve"> of students </w:t>
      </w:r>
      <w:r w:rsidR="000D6FBF">
        <w:rPr>
          <w:rFonts w:cs="Arial"/>
        </w:rPr>
        <w:t>will score</w:t>
      </w:r>
      <w:r w:rsidR="00CD2123">
        <w:rPr>
          <w:rFonts w:cs="Arial"/>
        </w:rPr>
        <w:t xml:space="preserve"> at least 70% on the questions.</w:t>
      </w:r>
    </w:p>
    <w:p w:rsidR="000A05BC" w:rsidRPr="006876BA" w:rsidRDefault="000A05BC" w:rsidP="000A05BC">
      <w:pPr>
        <w:rPr>
          <w:rFonts w:cs="Arial"/>
          <w:b/>
        </w:rPr>
      </w:pPr>
      <w:r>
        <w:rPr>
          <w:rFonts w:cs="Arial"/>
          <w:b/>
        </w:rPr>
        <w:t>Evaluation Process</w:t>
      </w:r>
      <w:r w:rsidRPr="006876BA">
        <w:rPr>
          <w:rFonts w:cs="Arial"/>
          <w:b/>
        </w:rPr>
        <w:t>:</w:t>
      </w:r>
    </w:p>
    <w:p w:rsidR="00E933DD" w:rsidRDefault="000D6FBF" w:rsidP="00714359">
      <w:r>
        <w:t xml:space="preserve">A set of ten objective questions </w:t>
      </w:r>
      <w:proofErr w:type="gramStart"/>
      <w:r>
        <w:t>was administered</w:t>
      </w:r>
      <w:proofErr w:type="gramEnd"/>
      <w:r>
        <w:t xml:space="preserve"> to six of eight sections of BUS 301 Business Law, a required core course in the BSBA program.</w:t>
      </w:r>
    </w:p>
    <w:p w:rsidR="003408BC" w:rsidRDefault="003408BC" w:rsidP="00714359">
      <w:pPr>
        <w:rPr>
          <w:rFonts w:cs="Arial"/>
          <w:b/>
        </w:rPr>
      </w:pPr>
      <w:r w:rsidRPr="000A05BC">
        <w:rPr>
          <w:rFonts w:cs="Arial"/>
          <w:b/>
        </w:rPr>
        <w:t>Rubric:</w:t>
      </w:r>
    </w:p>
    <w:p w:rsidR="00E933DD" w:rsidRPr="000A05BC" w:rsidRDefault="00E933DD" w:rsidP="00714359">
      <w:pPr>
        <w:rPr>
          <w:rFonts w:cs="Arial"/>
          <w:b/>
        </w:rPr>
      </w:pPr>
      <w:r>
        <w:rPr>
          <w:rFonts w:cs="Arial"/>
          <w:b/>
        </w:rPr>
        <w:t>Test key:</w:t>
      </w:r>
    </w:p>
    <w:tbl>
      <w:tblPr>
        <w:tblStyle w:val="TableGrid"/>
        <w:tblW w:w="0" w:type="auto"/>
        <w:tblLook w:val="04A0" w:firstRow="1" w:lastRow="0" w:firstColumn="1" w:lastColumn="0" w:noHBand="0" w:noVBand="1"/>
      </w:tblPr>
      <w:tblGrid>
        <w:gridCol w:w="3109"/>
        <w:gridCol w:w="3109"/>
        <w:gridCol w:w="3132"/>
      </w:tblGrid>
      <w:tr w:rsidR="00E933DD" w:rsidTr="00A972EF">
        <w:tc>
          <w:tcPr>
            <w:tcW w:w="3192" w:type="dxa"/>
          </w:tcPr>
          <w:p w:rsidR="00E933DD" w:rsidRPr="008B3018" w:rsidRDefault="00E933DD" w:rsidP="00A972EF">
            <w:pPr>
              <w:pStyle w:val="NoSpacing"/>
              <w:jc w:val="center"/>
              <w:rPr>
                <w:b/>
              </w:rPr>
            </w:pPr>
            <w:r w:rsidRPr="008B3018">
              <w:rPr>
                <w:b/>
              </w:rPr>
              <w:t>Poor</w:t>
            </w:r>
          </w:p>
        </w:tc>
        <w:tc>
          <w:tcPr>
            <w:tcW w:w="3192" w:type="dxa"/>
          </w:tcPr>
          <w:p w:rsidR="00E933DD" w:rsidRPr="008B3018" w:rsidRDefault="00E933DD" w:rsidP="00A972EF">
            <w:pPr>
              <w:pStyle w:val="NoSpacing"/>
              <w:jc w:val="center"/>
              <w:rPr>
                <w:b/>
              </w:rPr>
            </w:pPr>
            <w:r w:rsidRPr="008B3018">
              <w:rPr>
                <w:b/>
              </w:rPr>
              <w:t>Good</w:t>
            </w:r>
          </w:p>
        </w:tc>
        <w:tc>
          <w:tcPr>
            <w:tcW w:w="3192" w:type="dxa"/>
          </w:tcPr>
          <w:p w:rsidR="00E933DD" w:rsidRPr="008B3018" w:rsidRDefault="00E933DD" w:rsidP="00A972EF">
            <w:pPr>
              <w:pStyle w:val="NoSpacing"/>
              <w:jc w:val="center"/>
              <w:rPr>
                <w:b/>
              </w:rPr>
            </w:pPr>
            <w:r w:rsidRPr="008B3018">
              <w:rPr>
                <w:b/>
              </w:rPr>
              <w:t>Exceeds Expectations</w:t>
            </w:r>
          </w:p>
        </w:tc>
      </w:tr>
      <w:tr w:rsidR="00E933DD" w:rsidTr="00A972EF">
        <w:tc>
          <w:tcPr>
            <w:tcW w:w="3192" w:type="dxa"/>
          </w:tcPr>
          <w:p w:rsidR="00E933DD" w:rsidRDefault="00E933DD" w:rsidP="00A972EF">
            <w:pPr>
              <w:pStyle w:val="NoSpacing"/>
              <w:jc w:val="center"/>
            </w:pPr>
            <w:r>
              <w:t>&lt;70%</w:t>
            </w:r>
          </w:p>
        </w:tc>
        <w:tc>
          <w:tcPr>
            <w:tcW w:w="3192" w:type="dxa"/>
          </w:tcPr>
          <w:p w:rsidR="00E933DD" w:rsidRDefault="00E933DD" w:rsidP="00A972EF">
            <w:pPr>
              <w:pStyle w:val="NoSpacing"/>
              <w:jc w:val="center"/>
            </w:pPr>
            <w:r>
              <w:t>70 – 90%</w:t>
            </w:r>
          </w:p>
        </w:tc>
        <w:tc>
          <w:tcPr>
            <w:tcW w:w="3192" w:type="dxa"/>
          </w:tcPr>
          <w:p w:rsidR="00E933DD" w:rsidRDefault="00E933DD" w:rsidP="00A972EF">
            <w:pPr>
              <w:pStyle w:val="NoSpacing"/>
              <w:jc w:val="center"/>
            </w:pPr>
            <w:r>
              <w:t>&gt;90%</w:t>
            </w:r>
          </w:p>
        </w:tc>
      </w:tr>
    </w:tbl>
    <w:p w:rsidR="00E933DD" w:rsidRDefault="00E933DD" w:rsidP="000A05BC">
      <w:pPr>
        <w:rPr>
          <w:rFonts w:cs="Arial"/>
          <w:b/>
        </w:rPr>
      </w:pPr>
    </w:p>
    <w:p w:rsidR="000A05BC" w:rsidRPr="00714359" w:rsidRDefault="00CA47AA" w:rsidP="000A05BC">
      <w:pPr>
        <w:rPr>
          <w:rFonts w:cs="Arial"/>
          <w:b/>
        </w:rPr>
      </w:pPr>
      <w:r>
        <w:rPr>
          <w:rFonts w:cs="Arial"/>
          <w:b/>
        </w:rPr>
        <w:t>Course</w:t>
      </w:r>
      <w:r w:rsidR="000A05BC" w:rsidRPr="00714359">
        <w:rPr>
          <w:rFonts w:cs="Arial"/>
          <w:b/>
        </w:rPr>
        <w:t xml:space="preserve"> where </w:t>
      </w:r>
      <w:r w:rsidR="000A05BC">
        <w:rPr>
          <w:rFonts w:cs="Arial"/>
          <w:b/>
        </w:rPr>
        <w:t xml:space="preserve">learning outcome </w:t>
      </w:r>
      <w:proofErr w:type="gramStart"/>
      <w:r w:rsidR="000A05BC">
        <w:rPr>
          <w:rFonts w:cs="Arial"/>
          <w:b/>
        </w:rPr>
        <w:t xml:space="preserve">was </w:t>
      </w:r>
      <w:r w:rsidR="000A05BC" w:rsidRPr="00714359">
        <w:rPr>
          <w:rFonts w:cs="Arial"/>
          <w:b/>
        </w:rPr>
        <w:t>assessed</w:t>
      </w:r>
      <w:proofErr w:type="gramEnd"/>
      <w:r w:rsidR="000A05BC" w:rsidRPr="00714359">
        <w:rPr>
          <w:rFonts w:cs="Arial"/>
          <w:b/>
        </w:rPr>
        <w:t>:</w:t>
      </w:r>
    </w:p>
    <w:p w:rsidR="00714359" w:rsidRDefault="000D6FBF" w:rsidP="000A05BC">
      <w:pPr>
        <w:ind w:left="360"/>
        <w:rPr>
          <w:rFonts w:cs="Arial"/>
        </w:rPr>
      </w:pPr>
      <w:r>
        <w:rPr>
          <w:rFonts w:cs="Arial"/>
        </w:rPr>
        <w:t>BUS 301, all sections</w:t>
      </w:r>
    </w:p>
    <w:p w:rsidR="00BE7125" w:rsidRDefault="00E457D8">
      <w:pPr>
        <w:rPr>
          <w:rFonts w:cs="Arial"/>
          <w:b/>
        </w:rPr>
      </w:pPr>
      <w:r w:rsidRPr="00714359">
        <w:rPr>
          <w:rFonts w:cs="Arial"/>
          <w:b/>
        </w:rPr>
        <w:t>Evaluator</w:t>
      </w:r>
      <w:r w:rsidR="005034E3">
        <w:rPr>
          <w:rFonts w:cs="Arial"/>
          <w:b/>
        </w:rPr>
        <w:t>(s)</w:t>
      </w:r>
      <w:r w:rsidR="00714359">
        <w:rPr>
          <w:rFonts w:cs="Arial"/>
          <w:b/>
        </w:rPr>
        <w:t>:</w:t>
      </w:r>
      <w:r w:rsidR="000A05BC">
        <w:rPr>
          <w:rFonts w:cs="Arial"/>
          <w:b/>
        </w:rPr>
        <w:t xml:space="preserve"> </w:t>
      </w:r>
    </w:p>
    <w:p w:rsidR="00A75C8F" w:rsidRDefault="000D6FBF" w:rsidP="00BE7125">
      <w:pPr>
        <w:ind w:left="360"/>
        <w:rPr>
          <w:rFonts w:cs="Arial"/>
        </w:rPr>
      </w:pPr>
      <w:r>
        <w:rPr>
          <w:rFonts w:cs="Arial"/>
        </w:rPr>
        <w:t>Mike Becker</w:t>
      </w:r>
    </w:p>
    <w:p w:rsidR="000D6FBF" w:rsidRDefault="000D6FBF" w:rsidP="00BE7125">
      <w:pPr>
        <w:ind w:left="360"/>
        <w:rPr>
          <w:rFonts w:cs="Arial"/>
        </w:rPr>
      </w:pPr>
      <w:r>
        <w:rPr>
          <w:rFonts w:cs="Arial"/>
        </w:rPr>
        <w:t xml:space="preserve">Karl </w:t>
      </w:r>
      <w:proofErr w:type="spellStart"/>
      <w:r>
        <w:rPr>
          <w:rFonts w:cs="Arial"/>
        </w:rPr>
        <w:t>Boedecker</w:t>
      </w:r>
      <w:proofErr w:type="spellEnd"/>
    </w:p>
    <w:p w:rsidR="00E933DD" w:rsidRDefault="00E933DD" w:rsidP="00BE7125">
      <w:pPr>
        <w:ind w:left="360"/>
        <w:rPr>
          <w:rFonts w:ascii="Arial" w:hAnsi="Arial" w:cs="Arial"/>
          <w:b/>
          <w:bCs/>
          <w:i/>
          <w:sz w:val="24"/>
        </w:rPr>
      </w:pPr>
      <w:bookmarkStart w:id="0" w:name="_GoBack"/>
      <w:bookmarkEnd w:id="0"/>
    </w:p>
    <w:p w:rsidR="002577FB" w:rsidRPr="00187335" w:rsidRDefault="002577FB" w:rsidP="002577FB">
      <w:pPr>
        <w:widowControl w:val="0"/>
        <w:autoSpaceDE w:val="0"/>
        <w:autoSpaceDN w:val="0"/>
        <w:adjustRightInd w:val="0"/>
        <w:spacing w:after="0" w:line="240" w:lineRule="auto"/>
        <w:rPr>
          <w:rFonts w:cs="Arial"/>
          <w:b/>
          <w:bCs/>
          <w:sz w:val="32"/>
        </w:rPr>
      </w:pPr>
      <w:r w:rsidRPr="00187335">
        <w:rPr>
          <w:rFonts w:cs="Arial"/>
          <w:b/>
          <w:bCs/>
          <w:i/>
          <w:sz w:val="28"/>
        </w:rPr>
        <w:t>Phase 2: Results Assessment</w:t>
      </w:r>
      <w:r w:rsidR="004754AC" w:rsidRPr="00187335">
        <w:rPr>
          <w:rFonts w:cs="Arial"/>
          <w:b/>
          <w:bCs/>
          <w:i/>
          <w:sz w:val="28"/>
        </w:rPr>
        <w:t xml:space="preserve"> and Planned Action</w:t>
      </w:r>
      <w:r w:rsidRPr="00187335">
        <w:rPr>
          <w:rFonts w:cs="Arial"/>
          <w:b/>
          <w:bCs/>
          <w:i/>
          <w:sz w:val="24"/>
        </w:rPr>
        <w:br/>
      </w:r>
    </w:p>
    <w:p w:rsidR="002577FB" w:rsidRDefault="002577FB" w:rsidP="002577FB">
      <w:pPr>
        <w:rPr>
          <w:rFonts w:cs="Arial"/>
          <w:b/>
          <w:sz w:val="28"/>
        </w:rPr>
      </w:pPr>
      <w:r>
        <w:rPr>
          <w:rFonts w:cs="Arial"/>
          <w:b/>
          <w:sz w:val="28"/>
        </w:rPr>
        <w:t>Results:</w:t>
      </w:r>
    </w:p>
    <w:p w:rsidR="000D6FBF" w:rsidRDefault="000D6FBF" w:rsidP="000D6FBF">
      <w:pPr>
        <w:pStyle w:val="NoSpacing"/>
      </w:pPr>
      <w:r>
        <w:t>The results, tallied across all six sections, are in the table below.</w:t>
      </w:r>
      <w:r w:rsidR="00CD2123">
        <w:t xml:space="preserve"> </w:t>
      </w:r>
      <w:proofErr w:type="gramStart"/>
      <w:r w:rsidR="00CD2123">
        <w:t>214</w:t>
      </w:r>
      <w:proofErr w:type="gramEnd"/>
      <w:r w:rsidR="00CD2123">
        <w:t xml:space="preserve"> students total were assessed.</w:t>
      </w:r>
    </w:p>
    <w:p w:rsidR="000D6FBF" w:rsidRDefault="000D6FBF" w:rsidP="000D6FBF">
      <w:pPr>
        <w:pStyle w:val="NoSpacing"/>
      </w:pPr>
    </w:p>
    <w:tbl>
      <w:tblPr>
        <w:tblStyle w:val="TableGrid"/>
        <w:tblW w:w="0" w:type="auto"/>
        <w:tblLook w:val="04A0" w:firstRow="1" w:lastRow="0" w:firstColumn="1" w:lastColumn="0" w:noHBand="0" w:noVBand="1"/>
      </w:tblPr>
      <w:tblGrid>
        <w:gridCol w:w="3108"/>
        <w:gridCol w:w="3110"/>
        <w:gridCol w:w="3132"/>
      </w:tblGrid>
      <w:tr w:rsidR="000D6FBF" w:rsidTr="00A972EF">
        <w:tc>
          <w:tcPr>
            <w:tcW w:w="3192" w:type="dxa"/>
          </w:tcPr>
          <w:p w:rsidR="000D6FBF" w:rsidRPr="008B3018" w:rsidRDefault="000D6FBF" w:rsidP="00A972EF">
            <w:pPr>
              <w:pStyle w:val="NoSpacing"/>
              <w:jc w:val="center"/>
              <w:rPr>
                <w:b/>
              </w:rPr>
            </w:pPr>
            <w:r w:rsidRPr="008B3018">
              <w:rPr>
                <w:b/>
              </w:rPr>
              <w:t>Poor</w:t>
            </w:r>
          </w:p>
        </w:tc>
        <w:tc>
          <w:tcPr>
            <w:tcW w:w="3192" w:type="dxa"/>
          </w:tcPr>
          <w:p w:rsidR="000D6FBF" w:rsidRPr="008B3018" w:rsidRDefault="000D6FBF" w:rsidP="00A972EF">
            <w:pPr>
              <w:pStyle w:val="NoSpacing"/>
              <w:jc w:val="center"/>
              <w:rPr>
                <w:b/>
              </w:rPr>
            </w:pPr>
            <w:r w:rsidRPr="008B3018">
              <w:rPr>
                <w:b/>
              </w:rPr>
              <w:t>Good</w:t>
            </w:r>
          </w:p>
        </w:tc>
        <w:tc>
          <w:tcPr>
            <w:tcW w:w="3192" w:type="dxa"/>
          </w:tcPr>
          <w:p w:rsidR="000D6FBF" w:rsidRPr="008B3018" w:rsidRDefault="000D6FBF" w:rsidP="00A972EF">
            <w:pPr>
              <w:pStyle w:val="NoSpacing"/>
              <w:jc w:val="center"/>
              <w:rPr>
                <w:b/>
              </w:rPr>
            </w:pPr>
            <w:r w:rsidRPr="008B3018">
              <w:rPr>
                <w:b/>
              </w:rPr>
              <w:t>Exceeds Expectations</w:t>
            </w:r>
          </w:p>
        </w:tc>
      </w:tr>
      <w:tr w:rsidR="000D6FBF" w:rsidTr="00A972EF">
        <w:tc>
          <w:tcPr>
            <w:tcW w:w="3192" w:type="dxa"/>
          </w:tcPr>
          <w:p w:rsidR="000D6FBF" w:rsidRDefault="000D6FBF" w:rsidP="00A972EF">
            <w:pPr>
              <w:pStyle w:val="NoSpacing"/>
              <w:jc w:val="center"/>
            </w:pPr>
            <w:r>
              <w:t>124</w:t>
            </w:r>
          </w:p>
        </w:tc>
        <w:tc>
          <w:tcPr>
            <w:tcW w:w="3192" w:type="dxa"/>
          </w:tcPr>
          <w:p w:rsidR="000D6FBF" w:rsidRDefault="000D6FBF" w:rsidP="00A972EF">
            <w:pPr>
              <w:pStyle w:val="NoSpacing"/>
              <w:jc w:val="center"/>
            </w:pPr>
            <w:r>
              <w:t>84</w:t>
            </w:r>
          </w:p>
        </w:tc>
        <w:tc>
          <w:tcPr>
            <w:tcW w:w="3192" w:type="dxa"/>
          </w:tcPr>
          <w:p w:rsidR="000D6FBF" w:rsidRDefault="000D6FBF" w:rsidP="00A972EF">
            <w:pPr>
              <w:pStyle w:val="NoSpacing"/>
              <w:jc w:val="center"/>
            </w:pPr>
            <w:r>
              <w:t>6</w:t>
            </w:r>
          </w:p>
        </w:tc>
      </w:tr>
    </w:tbl>
    <w:p w:rsidR="000D6FBF" w:rsidRDefault="000D6FBF" w:rsidP="000D6FBF">
      <w:pPr>
        <w:pStyle w:val="NoSpacing"/>
      </w:pPr>
    </w:p>
    <w:p w:rsidR="00764BA9" w:rsidRPr="00CD2123" w:rsidRDefault="00CD2123" w:rsidP="00BE7125">
      <w:pPr>
        <w:ind w:left="360"/>
        <w:rPr>
          <w:rFonts w:cs="Arial"/>
        </w:rPr>
      </w:pPr>
      <w:r w:rsidRPr="00CD2123">
        <w:rPr>
          <w:rFonts w:cs="Arial"/>
        </w:rPr>
        <w:t xml:space="preserve">Only 42% of students scored at least 70% on the questions. </w:t>
      </w:r>
    </w:p>
    <w:p w:rsidR="00CD2123" w:rsidRPr="00CD2123" w:rsidRDefault="00CD2123" w:rsidP="00BE7125">
      <w:pPr>
        <w:ind w:left="360"/>
        <w:rPr>
          <w:rFonts w:cs="Arial"/>
        </w:rPr>
      </w:pPr>
      <w:proofErr w:type="gramStart"/>
      <w:r w:rsidRPr="00CD2123">
        <w:rPr>
          <w:rFonts w:cs="Arial"/>
        </w:rPr>
        <w:t>60%</w:t>
      </w:r>
      <w:proofErr w:type="gramEnd"/>
      <w:r w:rsidRPr="00CD2123">
        <w:rPr>
          <w:rFonts w:cs="Arial"/>
        </w:rPr>
        <w:t xml:space="preserve"> of students scored poorly.</w:t>
      </w:r>
    </w:p>
    <w:p w:rsidR="002577FB" w:rsidRDefault="009F64A1" w:rsidP="002577FB">
      <w:pPr>
        <w:rPr>
          <w:rFonts w:cs="Arial"/>
          <w:i/>
          <w:sz w:val="24"/>
        </w:rPr>
      </w:pPr>
      <w:r>
        <w:rPr>
          <w:rFonts w:cs="Arial"/>
          <w:b/>
          <w:sz w:val="28"/>
          <w:szCs w:val="28"/>
        </w:rPr>
        <w:t xml:space="preserve">Suggested </w:t>
      </w:r>
      <w:r w:rsidR="002577FB" w:rsidRPr="004754AC">
        <w:rPr>
          <w:rFonts w:cs="Arial"/>
          <w:b/>
          <w:sz w:val="28"/>
          <w:szCs w:val="28"/>
        </w:rPr>
        <w:t>Action:</w:t>
      </w:r>
    </w:p>
    <w:p w:rsidR="000D6FBF" w:rsidRDefault="000D6FBF" w:rsidP="000D6FBF">
      <w:pPr>
        <w:pStyle w:val="NoSpacing"/>
      </w:pPr>
      <w:r>
        <w:t xml:space="preserve">1. </w:t>
      </w:r>
      <w:proofErr w:type="gramStart"/>
      <w:r>
        <w:t>Identified</w:t>
      </w:r>
      <w:proofErr w:type="gramEnd"/>
      <w:r>
        <w:t xml:space="preserve"> those aspects of LO2b on which overall scores were lowest, </w:t>
      </w:r>
      <w:r w:rsidRPr="00C33476">
        <w:rPr>
          <w:i/>
        </w:rPr>
        <w:t>i.e</w:t>
      </w:r>
      <w:r>
        <w:t xml:space="preserve">. in the “Poor” category. These were the items concerned with how offer and acceptance differ for unilateral and bilateral contracts. They also concerned the understanding of mutual assent as related to contractual capacity and the availability or rescission as a remedy for a </w:t>
      </w:r>
      <w:proofErr w:type="gramStart"/>
      <w:r>
        <w:t>party which</w:t>
      </w:r>
      <w:proofErr w:type="gramEnd"/>
      <w:r>
        <w:t xml:space="preserve"> lacks such capacity.</w:t>
      </w:r>
    </w:p>
    <w:p w:rsidR="000D6FBF" w:rsidRDefault="000D6FBF" w:rsidP="000D6FBF">
      <w:pPr>
        <w:pStyle w:val="NoSpacing"/>
      </w:pPr>
    </w:p>
    <w:p w:rsidR="000D6FBF" w:rsidRDefault="000D6FBF" w:rsidP="000D6FBF">
      <w:pPr>
        <w:pStyle w:val="NoSpacing"/>
      </w:pPr>
      <w:r>
        <w:t>2</w:t>
      </w:r>
      <w:r w:rsidRPr="00C33476">
        <w:t xml:space="preserve">. Reviewed and discussed </w:t>
      </w:r>
      <w:r>
        <w:t xml:space="preserve">both breadth and depth of </w:t>
      </w:r>
      <w:r w:rsidRPr="00C33476">
        <w:t xml:space="preserve">coverage of the basic </w:t>
      </w:r>
      <w:r>
        <w:t xml:space="preserve">contracts </w:t>
      </w:r>
      <w:r w:rsidRPr="00C33476">
        <w:t>concepts</w:t>
      </w:r>
      <w:r>
        <w:t>, with an emphasis upon distinct types of contracts and contractual capacity.</w:t>
      </w:r>
      <w:r w:rsidRPr="00C33476">
        <w:t xml:space="preserve">  </w:t>
      </w:r>
    </w:p>
    <w:p w:rsidR="000D6FBF" w:rsidRDefault="000D6FBF" w:rsidP="000D6FBF">
      <w:pPr>
        <w:pStyle w:val="NoSpacing"/>
      </w:pPr>
    </w:p>
    <w:p w:rsidR="000D6FBF" w:rsidRDefault="000D6FBF" w:rsidP="000D6FBF">
      <w:pPr>
        <w:pStyle w:val="NoSpacing"/>
      </w:pPr>
      <w:r>
        <w:t xml:space="preserve">3. </w:t>
      </w:r>
      <w:r w:rsidRPr="00C33476">
        <w:t xml:space="preserve">Shared specific topical coverage of </w:t>
      </w:r>
      <w:r>
        <w:t>the</w:t>
      </w:r>
      <w:r w:rsidRPr="00C33476">
        <w:t xml:space="preserve"> </w:t>
      </w:r>
      <w:r>
        <w:t>contracts unit</w:t>
      </w:r>
      <w:r w:rsidRPr="00C33476">
        <w:t xml:space="preserve">, along with suggestions for cases and articles to assign for each of the basic concepts. </w:t>
      </w:r>
    </w:p>
    <w:p w:rsidR="000D6FBF" w:rsidRDefault="000D6FBF" w:rsidP="000D6FBF">
      <w:pPr>
        <w:pStyle w:val="NoSpacing"/>
      </w:pPr>
    </w:p>
    <w:p w:rsidR="000D6FBF" w:rsidRPr="00C33476" w:rsidRDefault="000D6FBF" w:rsidP="000D6FBF">
      <w:pPr>
        <w:pStyle w:val="NoSpacing"/>
      </w:pPr>
      <w:r>
        <w:t xml:space="preserve">4. Expressed concerns regarding basic English language skills, including reading comprehension, on the part of international students whose first language is not English and, furthermore, lack basic familiarity with U.S. social and historical norms. As a result, the department strongly recommends that USF improve its instruction in English as a Second Language and require demonstrated English language competence on an exit exam before </w:t>
      </w:r>
      <w:proofErr w:type="gramStart"/>
      <w:r>
        <w:t>being allowed</w:t>
      </w:r>
      <w:proofErr w:type="gramEnd"/>
      <w:r>
        <w:t xml:space="preserve"> to enroll in BSBA core courses.</w:t>
      </w:r>
    </w:p>
    <w:p w:rsidR="002577FB" w:rsidRDefault="002577FB"/>
    <w:p w:rsidR="00187335" w:rsidRDefault="002577FB" w:rsidP="00187335">
      <w:pPr>
        <w:widowControl w:val="0"/>
        <w:autoSpaceDE w:val="0"/>
        <w:autoSpaceDN w:val="0"/>
        <w:adjustRightInd w:val="0"/>
        <w:spacing w:after="0" w:line="240" w:lineRule="auto"/>
        <w:rPr>
          <w:rFonts w:cs="Arial"/>
          <w:b/>
          <w:bCs/>
          <w:i/>
          <w:sz w:val="28"/>
        </w:rPr>
      </w:pPr>
      <w:r w:rsidRPr="00187335">
        <w:rPr>
          <w:rFonts w:cs="Arial"/>
          <w:b/>
          <w:bCs/>
          <w:i/>
          <w:sz w:val="28"/>
        </w:rPr>
        <w:t>Phase 3: Closing the Loop</w:t>
      </w:r>
    </w:p>
    <w:p w:rsidR="0078670B" w:rsidRDefault="0078670B" w:rsidP="00187335">
      <w:pPr>
        <w:widowControl w:val="0"/>
        <w:autoSpaceDE w:val="0"/>
        <w:autoSpaceDN w:val="0"/>
        <w:adjustRightInd w:val="0"/>
        <w:spacing w:after="0" w:line="240" w:lineRule="auto"/>
        <w:rPr>
          <w:rFonts w:cs="Arial"/>
          <w:b/>
          <w:bCs/>
          <w:i/>
          <w:sz w:val="28"/>
        </w:rPr>
      </w:pPr>
    </w:p>
    <w:p w:rsidR="00187335" w:rsidRDefault="00187335" w:rsidP="00187335">
      <w:pPr>
        <w:widowControl w:val="0"/>
        <w:autoSpaceDE w:val="0"/>
        <w:autoSpaceDN w:val="0"/>
        <w:adjustRightInd w:val="0"/>
        <w:spacing w:after="0" w:line="240" w:lineRule="auto"/>
        <w:ind w:left="360"/>
        <w:rPr>
          <w:rFonts w:cs="Arial"/>
          <w:sz w:val="24"/>
        </w:rPr>
      </w:pPr>
      <w:r>
        <w:rPr>
          <w:rFonts w:cs="Arial"/>
          <w:sz w:val="24"/>
        </w:rPr>
        <w:t>In the year that the assessment is made, this is good place to describe how the suggested actions might be evaluated in a future assessment cycle. When that cycle is complete, the results can be added to this document to finalize the report.</w:t>
      </w:r>
    </w:p>
    <w:p w:rsidR="002577FB" w:rsidRDefault="002577FB" w:rsidP="00764BA9">
      <w:pPr>
        <w:rPr>
          <w:rFonts w:cs="Arial"/>
          <w:sz w:val="24"/>
        </w:rPr>
      </w:pPr>
    </w:p>
    <w:p w:rsidR="002577FB" w:rsidRDefault="002577FB" w:rsidP="00764BA9">
      <w:pPr>
        <w:pStyle w:val="PlainText"/>
        <w:rPr>
          <w:rFonts w:asciiTheme="minorHAnsi" w:hAnsiTheme="minorHAnsi" w:cs="Arial"/>
          <w:sz w:val="24"/>
          <w:szCs w:val="24"/>
        </w:rPr>
      </w:pPr>
    </w:p>
    <w:p w:rsidR="004576C9" w:rsidRPr="00E457D8" w:rsidRDefault="004576C9" w:rsidP="00A75C8F"/>
    <w:sectPr w:rsidR="004576C9" w:rsidRPr="00E457D8" w:rsidSect="00E457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7A" w:rsidRDefault="003F6C7A" w:rsidP="00455E53">
      <w:pPr>
        <w:spacing w:after="0" w:line="240" w:lineRule="auto"/>
      </w:pPr>
      <w:r>
        <w:separator/>
      </w:r>
    </w:p>
  </w:endnote>
  <w:endnote w:type="continuationSeparator" w:id="0">
    <w:p w:rsidR="003F6C7A" w:rsidRDefault="003F6C7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sdtContent>
      <w:p w:rsidR="00455E53" w:rsidRDefault="0078670B" w:rsidP="00455E53">
        <w:pPr>
          <w:pStyle w:val="Footer"/>
          <w:tabs>
            <w:tab w:val="clear" w:pos="4680"/>
            <w:tab w:val="left" w:pos="90"/>
          </w:tabs>
        </w:pPr>
        <w:fldSimple w:instr=" FILENAME   \* MERGEFORMAT ">
          <w:r w:rsidR="001406EC">
            <w:rPr>
              <w:noProof/>
            </w:rPr>
            <w:t>AoL Report Template 20160719.docx</w:t>
          </w:r>
        </w:fldSimple>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sidR="00E933DD">
          <w:rPr>
            <w:b/>
            <w:bCs/>
            <w:noProof/>
            <w:sz w:val="20"/>
            <w:szCs w:val="20"/>
          </w:rPr>
          <w:t>1</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sidR="00E933DD">
          <w:rPr>
            <w:b/>
            <w:bCs/>
            <w:noProof/>
          </w:rPr>
          <w:t>2</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7A" w:rsidRDefault="003F6C7A" w:rsidP="00455E53">
      <w:pPr>
        <w:spacing w:after="0" w:line="240" w:lineRule="auto"/>
      </w:pPr>
      <w:r>
        <w:separator/>
      </w:r>
    </w:p>
  </w:footnote>
  <w:footnote w:type="continuationSeparator" w:id="0">
    <w:p w:rsidR="003F6C7A" w:rsidRDefault="003F6C7A" w:rsidP="004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80"/>
    <w:rsid w:val="0004568A"/>
    <w:rsid w:val="000A05BC"/>
    <w:rsid w:val="000B3D43"/>
    <w:rsid w:val="000D30F9"/>
    <w:rsid w:val="000D6FBF"/>
    <w:rsid w:val="001312FF"/>
    <w:rsid w:val="001406EC"/>
    <w:rsid w:val="00160362"/>
    <w:rsid w:val="00187335"/>
    <w:rsid w:val="00195A69"/>
    <w:rsid w:val="00242E76"/>
    <w:rsid w:val="002577FB"/>
    <w:rsid w:val="00273E4A"/>
    <w:rsid w:val="00293BC9"/>
    <w:rsid w:val="002C17C7"/>
    <w:rsid w:val="00333F59"/>
    <w:rsid w:val="003408BC"/>
    <w:rsid w:val="003A3931"/>
    <w:rsid w:val="003B7CCF"/>
    <w:rsid w:val="003D35D1"/>
    <w:rsid w:val="003E2716"/>
    <w:rsid w:val="003F2E0D"/>
    <w:rsid w:val="003F6C7A"/>
    <w:rsid w:val="004214B1"/>
    <w:rsid w:val="004447A2"/>
    <w:rsid w:val="00455E53"/>
    <w:rsid w:val="004576C9"/>
    <w:rsid w:val="004754AC"/>
    <w:rsid w:val="00497280"/>
    <w:rsid w:val="004B1AE7"/>
    <w:rsid w:val="00501C41"/>
    <w:rsid w:val="005034E3"/>
    <w:rsid w:val="00580984"/>
    <w:rsid w:val="005824B0"/>
    <w:rsid w:val="005C6D3B"/>
    <w:rsid w:val="005E6899"/>
    <w:rsid w:val="00612359"/>
    <w:rsid w:val="006241AE"/>
    <w:rsid w:val="006925E5"/>
    <w:rsid w:val="006A3BF3"/>
    <w:rsid w:val="006E36AE"/>
    <w:rsid w:val="007048BA"/>
    <w:rsid w:val="00714359"/>
    <w:rsid w:val="007553C0"/>
    <w:rsid w:val="007553C5"/>
    <w:rsid w:val="00764BA9"/>
    <w:rsid w:val="0078304F"/>
    <w:rsid w:val="0078670B"/>
    <w:rsid w:val="007E522C"/>
    <w:rsid w:val="007F2187"/>
    <w:rsid w:val="00837F39"/>
    <w:rsid w:val="00883A01"/>
    <w:rsid w:val="008A2693"/>
    <w:rsid w:val="008A4B71"/>
    <w:rsid w:val="008E15B3"/>
    <w:rsid w:val="00920480"/>
    <w:rsid w:val="00936A16"/>
    <w:rsid w:val="0095494F"/>
    <w:rsid w:val="009708B3"/>
    <w:rsid w:val="009B4D3F"/>
    <w:rsid w:val="009E5387"/>
    <w:rsid w:val="009F64A1"/>
    <w:rsid w:val="00A30027"/>
    <w:rsid w:val="00A75C8F"/>
    <w:rsid w:val="00A973CE"/>
    <w:rsid w:val="00AC334D"/>
    <w:rsid w:val="00AD2342"/>
    <w:rsid w:val="00B26775"/>
    <w:rsid w:val="00B8696C"/>
    <w:rsid w:val="00B92CBF"/>
    <w:rsid w:val="00BA25C2"/>
    <w:rsid w:val="00BA469A"/>
    <w:rsid w:val="00BE7125"/>
    <w:rsid w:val="00BE764C"/>
    <w:rsid w:val="00C005E1"/>
    <w:rsid w:val="00C01F0E"/>
    <w:rsid w:val="00C615D5"/>
    <w:rsid w:val="00C918CA"/>
    <w:rsid w:val="00CA47AA"/>
    <w:rsid w:val="00CD2123"/>
    <w:rsid w:val="00CF46B4"/>
    <w:rsid w:val="00D14217"/>
    <w:rsid w:val="00D16B58"/>
    <w:rsid w:val="00D4089B"/>
    <w:rsid w:val="00DA7EF5"/>
    <w:rsid w:val="00E22367"/>
    <w:rsid w:val="00E457D8"/>
    <w:rsid w:val="00E80E51"/>
    <w:rsid w:val="00E933DD"/>
    <w:rsid w:val="00EB5F70"/>
    <w:rsid w:val="00ED7CAD"/>
    <w:rsid w:val="00F60843"/>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E8A3B"/>
  <w15:docId w15:val="{466C2511-EB8D-4713-B205-BE42AD2E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5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1C2B7-2F97-41F0-AC0C-619924AB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Camara, Laura L.</cp:lastModifiedBy>
  <cp:revision>3</cp:revision>
  <cp:lastPrinted>2016-07-05T23:11:00Z</cp:lastPrinted>
  <dcterms:created xsi:type="dcterms:W3CDTF">2017-02-14T17:05:00Z</dcterms:created>
  <dcterms:modified xsi:type="dcterms:W3CDTF">2017-02-14T17:12:00Z</dcterms:modified>
</cp:coreProperties>
</file>