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95" w:rsidRPr="0004568A" w:rsidRDefault="00FC0956" w:rsidP="001E5D95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MBA</w:t>
      </w:r>
      <w:r w:rsidR="001E5D95">
        <w:rPr>
          <w:rFonts w:cs="Arial"/>
          <w:b/>
          <w:bCs/>
          <w:sz w:val="40"/>
        </w:rPr>
        <w:t xml:space="preserve"> AY 2015-2016 Assessment</w:t>
      </w:r>
    </w:p>
    <w:p w:rsidR="001E5D95" w:rsidRDefault="001E5D95" w:rsidP="001E5D95">
      <w:pPr>
        <w:rPr>
          <w:rFonts w:cs="Arial"/>
          <w:b/>
        </w:rPr>
      </w:pPr>
      <w:r>
        <w:rPr>
          <w:rFonts w:ascii="Arial" w:hAnsi="Arial" w:cs="Arial"/>
          <w:b/>
          <w:bCs/>
          <w:i/>
          <w:sz w:val="24"/>
        </w:rPr>
        <w:t>Phase 1: Assessment Plan</w:t>
      </w:r>
    </w:p>
    <w:p w:rsidR="001E5D95" w:rsidRDefault="001E5D95" w:rsidP="001E5D95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714359" w:rsidRPr="00FC0956" w:rsidRDefault="00FC0956" w:rsidP="00FC0956">
      <w:pPr>
        <w:ind w:left="360"/>
        <w:rPr>
          <w:b/>
          <w:sz w:val="28"/>
        </w:rPr>
      </w:pPr>
      <w:r>
        <w:rPr>
          <w:b/>
          <w:sz w:val="28"/>
        </w:rPr>
        <w:t>MBA Learning Outcome 5:</w:t>
      </w:r>
      <w:r w:rsidR="00F32954" w:rsidRPr="00FC0956">
        <w:rPr>
          <w:b/>
          <w:sz w:val="28"/>
        </w:rPr>
        <w:t xml:space="preserve"> Leadership and Communication Skills </w:t>
      </w:r>
      <w:r w:rsidR="00F32954" w:rsidRPr="00FC0956">
        <w:rPr>
          <w:b/>
          <w:sz w:val="28"/>
        </w:rPr>
        <w:br/>
      </w:r>
      <w:r w:rsidR="00F32954" w:rsidRPr="00FC0956">
        <w:rPr>
          <w:sz w:val="28"/>
        </w:rPr>
        <w:t>Students will possess effective leadership and communication skills &amp; strategies.</w:t>
      </w:r>
    </w:p>
    <w:p w:rsidR="00FC0956" w:rsidRDefault="00E457D8" w:rsidP="00FC0956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714359" w:rsidRPr="00E457D8" w:rsidRDefault="00F32954" w:rsidP="00FC0956">
      <w:pPr>
        <w:ind w:left="360"/>
        <w:rPr>
          <w:rFonts w:cs="Arial"/>
        </w:rPr>
      </w:pPr>
      <w:r>
        <w:rPr>
          <w:rFonts w:cs="Arial"/>
        </w:rPr>
        <w:t>Evaluations of Final Project Presentation</w:t>
      </w:r>
    </w:p>
    <w:p w:rsidR="00FC0956" w:rsidRPr="00714359" w:rsidRDefault="00FC0956" w:rsidP="00FC0956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FC0956" w:rsidRPr="00AD2342" w:rsidRDefault="00FC0956" w:rsidP="00FC0956">
      <w:pPr>
        <w:ind w:left="360"/>
        <w:rPr>
          <w:rFonts w:cs="Arial"/>
        </w:rPr>
      </w:pPr>
      <w:r>
        <w:rPr>
          <w:rFonts w:cs="Arial"/>
        </w:rPr>
        <w:t>80% meet expectations</w:t>
      </w:r>
    </w:p>
    <w:p w:rsidR="00FC0956" w:rsidRPr="006876BA" w:rsidRDefault="00FC0956" w:rsidP="00FC0956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FC0956" w:rsidRDefault="002E002B" w:rsidP="00FC0956">
      <w:pPr>
        <w:ind w:left="360"/>
        <w:rPr>
          <w:rFonts w:cs="Arial"/>
        </w:rPr>
      </w:pPr>
      <w:r>
        <w:rPr>
          <w:rFonts w:cs="Arial"/>
        </w:rPr>
        <w:t xml:space="preserve">Students delivered a final presentation and were scored on against 4 </w:t>
      </w:r>
      <w:proofErr w:type="spellStart"/>
      <w:r>
        <w:rPr>
          <w:rFonts w:cs="Arial"/>
        </w:rPr>
        <w:t>pt</w:t>
      </w:r>
      <w:proofErr w:type="spellEnd"/>
      <w:r>
        <w:rPr>
          <w:rFonts w:cs="Arial"/>
        </w:rPr>
        <w:t xml:space="preserve"> rubrics for content and delivery. The groups were scored together on their content, and as individuals for their delivery.</w:t>
      </w:r>
    </w:p>
    <w:p w:rsidR="00FC0956" w:rsidRPr="00EF35CB" w:rsidRDefault="00FC0956" w:rsidP="00FC0956">
      <w:pPr>
        <w:rPr>
          <w:rFonts w:cs="Arial"/>
          <w:b/>
        </w:rPr>
      </w:pPr>
      <w:r w:rsidRPr="00EF35CB">
        <w:rPr>
          <w:rFonts w:cs="Arial"/>
          <w:b/>
        </w:rPr>
        <w:t>Rubric:</w:t>
      </w:r>
    </w:p>
    <w:p w:rsidR="00536511" w:rsidRPr="00E82B02" w:rsidRDefault="00536511" w:rsidP="00536511">
      <w:pPr>
        <w:ind w:left="360"/>
        <w:rPr>
          <w:rFonts w:cs="Arial"/>
        </w:rPr>
      </w:pPr>
      <w:r>
        <w:rPr>
          <w:rFonts w:cs="Arial"/>
        </w:rPr>
        <w:t>2</w:t>
      </w:r>
      <w:r w:rsidRPr="00E82B02">
        <w:rPr>
          <w:rFonts w:cs="Arial"/>
        </w:rPr>
        <w:t xml:space="preserve"> rubrics were applied to this evaluation. See adden</w:t>
      </w:r>
      <w:r>
        <w:rPr>
          <w:rFonts w:cs="Arial"/>
        </w:rPr>
        <w:t>dum (p6-7</w:t>
      </w:r>
      <w:r w:rsidRPr="00E82B02">
        <w:rPr>
          <w:rFonts w:cs="Arial"/>
        </w:rPr>
        <w:t>) for details.</w:t>
      </w:r>
    </w:p>
    <w:p w:rsidR="00056A13" w:rsidRPr="00714359" w:rsidRDefault="002E002B" w:rsidP="00056A13">
      <w:pPr>
        <w:rPr>
          <w:rFonts w:cs="Arial"/>
          <w:b/>
        </w:rPr>
      </w:pPr>
      <w:r>
        <w:rPr>
          <w:rFonts w:cs="Arial"/>
          <w:b/>
        </w:rPr>
        <w:t>Course</w:t>
      </w:r>
      <w:r w:rsidR="00056A13" w:rsidRPr="00714359">
        <w:rPr>
          <w:rFonts w:cs="Arial"/>
          <w:b/>
        </w:rPr>
        <w:t xml:space="preserve"> where </w:t>
      </w:r>
      <w:r w:rsidR="00056A13">
        <w:rPr>
          <w:rFonts w:cs="Arial"/>
          <w:b/>
        </w:rPr>
        <w:t xml:space="preserve">learning outcome was </w:t>
      </w:r>
      <w:r w:rsidR="00056A13" w:rsidRPr="00714359">
        <w:rPr>
          <w:rFonts w:cs="Arial"/>
          <w:b/>
        </w:rPr>
        <w:t>assessed:</w:t>
      </w:r>
    </w:p>
    <w:p w:rsidR="00714359" w:rsidRDefault="003408BC" w:rsidP="00FC0956">
      <w:pPr>
        <w:ind w:left="360"/>
        <w:rPr>
          <w:rFonts w:cs="Arial"/>
        </w:rPr>
      </w:pPr>
      <w:r>
        <w:rPr>
          <w:rFonts w:cs="Arial"/>
        </w:rPr>
        <w:t xml:space="preserve">MBA </w:t>
      </w:r>
      <w:r w:rsidR="00536511">
        <w:rPr>
          <w:rFonts w:cs="Arial"/>
        </w:rPr>
        <w:t xml:space="preserve">6013 </w:t>
      </w:r>
      <w:r w:rsidR="00536511" w:rsidRPr="00536511">
        <w:rPr>
          <w:rFonts w:cs="Arial"/>
        </w:rPr>
        <w:t>Strategic Management in the Global Environment</w:t>
      </w:r>
      <w:r w:rsidR="00536511">
        <w:rPr>
          <w:rFonts w:cs="Arial"/>
        </w:rPr>
        <w:t>,</w:t>
      </w:r>
      <w:r w:rsidR="00F32954">
        <w:rPr>
          <w:rFonts w:cs="Arial"/>
        </w:rPr>
        <w:t xml:space="preserve"> s</w:t>
      </w:r>
      <w:r w:rsidR="00536511">
        <w:rPr>
          <w:rFonts w:cs="Arial"/>
        </w:rPr>
        <w:t xml:space="preserve">ection </w:t>
      </w:r>
      <w:r w:rsidR="00F32954">
        <w:rPr>
          <w:rFonts w:cs="Arial"/>
        </w:rPr>
        <w:t>1</w:t>
      </w:r>
    </w:p>
    <w:p w:rsidR="00E457D8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</w:p>
    <w:p w:rsidR="00714359" w:rsidRPr="000F2DCA" w:rsidRDefault="000F2DCA" w:rsidP="00FC0956">
      <w:pPr>
        <w:ind w:left="360"/>
        <w:rPr>
          <w:rFonts w:cs="Arial"/>
        </w:rPr>
      </w:pPr>
      <w:r w:rsidRPr="000F2DCA">
        <w:rPr>
          <w:rFonts w:cs="Arial"/>
        </w:rPr>
        <w:t>Stephen Morris</w:t>
      </w:r>
    </w:p>
    <w:p w:rsidR="00A75C8F" w:rsidRDefault="00A75C8F">
      <w:pPr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br w:type="page"/>
      </w:r>
      <w:bookmarkStart w:id="0" w:name="_GoBack"/>
      <w:bookmarkEnd w:id="0"/>
    </w:p>
    <w:p w:rsid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2577FB">
        <w:rPr>
          <w:rFonts w:ascii="Arial" w:hAnsi="Arial" w:cs="Arial"/>
          <w:b/>
          <w:bCs/>
          <w:i/>
          <w:sz w:val="24"/>
        </w:rPr>
        <w:lastRenderedPageBreak/>
        <w:t xml:space="preserve">Phase </w:t>
      </w:r>
      <w:r>
        <w:rPr>
          <w:rFonts w:ascii="Arial" w:hAnsi="Arial" w:cs="Arial"/>
          <w:b/>
          <w:bCs/>
          <w:i/>
          <w:sz w:val="24"/>
        </w:rPr>
        <w:t>2</w:t>
      </w:r>
      <w:r w:rsidRPr="002577FB">
        <w:rPr>
          <w:rFonts w:ascii="Arial" w:hAnsi="Arial" w:cs="Arial"/>
          <w:b/>
          <w:bCs/>
          <w:i/>
          <w:sz w:val="24"/>
        </w:rPr>
        <w:t xml:space="preserve">: </w:t>
      </w:r>
      <w:r>
        <w:rPr>
          <w:rFonts w:ascii="Arial" w:hAnsi="Arial" w:cs="Arial"/>
          <w:b/>
          <w:bCs/>
          <w:i/>
          <w:sz w:val="24"/>
        </w:rPr>
        <w:t>Results Assessment</w:t>
      </w:r>
      <w:r w:rsidR="004754AC">
        <w:rPr>
          <w:rFonts w:ascii="Arial" w:hAnsi="Arial" w:cs="Arial"/>
          <w:b/>
          <w:bCs/>
          <w:i/>
          <w:sz w:val="24"/>
        </w:rPr>
        <w:t xml:space="preserve"> and Planned Action</w:t>
      </w:r>
      <w:r w:rsidRPr="002577FB">
        <w:rPr>
          <w:rFonts w:ascii="Arial" w:hAnsi="Arial"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2E002B" w:rsidRDefault="002E002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MBA 6013 Group Content Rubric Results</w:t>
      </w:r>
    </w:p>
    <w:tbl>
      <w:tblPr>
        <w:tblW w:w="8700" w:type="dxa"/>
        <w:tblInd w:w="108" w:type="dxa"/>
        <w:tblLook w:val="04A0" w:firstRow="1" w:lastRow="0" w:firstColumn="1" w:lastColumn="0" w:noHBand="0" w:noVBand="1"/>
      </w:tblPr>
      <w:tblGrid>
        <w:gridCol w:w="1996"/>
        <w:gridCol w:w="1358"/>
        <w:gridCol w:w="1358"/>
        <w:gridCol w:w="1358"/>
        <w:gridCol w:w="1316"/>
        <w:gridCol w:w="222"/>
        <w:gridCol w:w="1556"/>
      </w:tblGrid>
      <w:tr w:rsidR="00D97760" w:rsidRPr="00D97760" w:rsidTr="00D97760">
        <w:trPr>
          <w:trHeight w:val="252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Number of groups achieving target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781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Categories: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Novice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% Groups Meeting or Exceeding Expectations</w:t>
            </w:r>
          </w:p>
        </w:tc>
      </w:tr>
      <w:tr w:rsidR="00D97760" w:rsidRPr="00D97760" w:rsidTr="00D97760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= 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3 - 4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2 - 3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&lt; 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Introduction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Theses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Connection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Organization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0%</w:t>
            </w: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467350" cy="3257550"/>
                  <wp:effectExtent l="0" t="0" r="19050" b="19050"/>
                  <wp:wrapNone/>
                  <wp:docPr id="2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D97760" w:rsidRPr="00D97760">
              <w:trPr>
                <w:trHeight w:val="30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760" w:rsidRPr="00D97760" w:rsidRDefault="00D97760" w:rsidP="00D977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002B" w:rsidRDefault="002E002B" w:rsidP="002E002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MBA 6013 Individual Delivery Rubric Results</w:t>
      </w:r>
    </w:p>
    <w:tbl>
      <w:tblPr>
        <w:tblW w:w="8700" w:type="dxa"/>
        <w:tblInd w:w="108" w:type="dxa"/>
        <w:tblLook w:val="04A0" w:firstRow="1" w:lastRow="0" w:firstColumn="1" w:lastColumn="0" w:noHBand="0" w:noVBand="1"/>
      </w:tblPr>
      <w:tblGrid>
        <w:gridCol w:w="1996"/>
        <w:gridCol w:w="1358"/>
        <w:gridCol w:w="1358"/>
        <w:gridCol w:w="1358"/>
        <w:gridCol w:w="1316"/>
        <w:gridCol w:w="222"/>
        <w:gridCol w:w="1556"/>
      </w:tblGrid>
      <w:tr w:rsidR="00D97760" w:rsidRPr="00D97760" w:rsidTr="00D97760">
        <w:trPr>
          <w:trHeight w:val="315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97760">
              <w:rPr>
                <w:rFonts w:ascii="Calibri" w:eastAsia="Times New Roman" w:hAnsi="Calibri" w:cs="Times New Roman"/>
                <w:color w:val="000000"/>
              </w:rPr>
              <w:t>tudents achieving target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930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Categories: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Novice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% Students Meeting or Exceeding Expectations</w:t>
            </w:r>
          </w:p>
        </w:tc>
      </w:tr>
      <w:tr w:rsidR="00D97760" w:rsidRPr="00D97760" w:rsidTr="00D97760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= 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3 - 4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2 - 3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</w:rPr>
              <w:t>&lt; 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Eye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Movement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41%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Voice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45%</w:t>
            </w:r>
          </w:p>
        </w:tc>
      </w:tr>
      <w:tr w:rsidR="00D97760" w:rsidRPr="00D97760" w:rsidTr="00D97760">
        <w:trPr>
          <w:trHeight w:val="87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Fluency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60" w:rsidRPr="00D97760" w:rsidRDefault="00D97760" w:rsidP="00D9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776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55%</w:t>
            </w: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467350" cy="3257550"/>
                  <wp:effectExtent l="0" t="0" r="19050" b="19050"/>
                  <wp:wrapNone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D97760" w:rsidRPr="00D97760">
              <w:trPr>
                <w:trHeight w:val="30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760" w:rsidRPr="00D97760" w:rsidRDefault="00D97760" w:rsidP="00D977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7760" w:rsidRPr="00D97760" w:rsidTr="00D9776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60" w:rsidRPr="00D97760" w:rsidRDefault="00D97760" w:rsidP="00D9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7760" w:rsidRDefault="00D97760" w:rsidP="002577FB">
      <w:pPr>
        <w:rPr>
          <w:rFonts w:cs="Arial"/>
          <w:b/>
          <w:sz w:val="28"/>
          <w:szCs w:val="28"/>
        </w:rPr>
      </w:pPr>
    </w:p>
    <w:p w:rsidR="00D97760" w:rsidRDefault="00D9776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2577FB" w:rsidRDefault="00F94887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lastRenderedPageBreak/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F94887" w:rsidRDefault="00F94887" w:rsidP="00536511">
      <w:pPr>
        <w:ind w:left="270"/>
        <w:rPr>
          <w:rFonts w:cs="Arial"/>
          <w:sz w:val="24"/>
        </w:rPr>
      </w:pPr>
      <w:r>
        <w:rPr>
          <w:rFonts w:cs="Arial"/>
          <w:sz w:val="24"/>
        </w:rPr>
        <w:t>This outcome should be assessed in multiple sections and courses for a larger sample that includes both full time and part time students.</w:t>
      </w:r>
    </w:p>
    <w:p w:rsidR="00F94887" w:rsidRDefault="00F94887" w:rsidP="00536511">
      <w:pPr>
        <w:ind w:left="270"/>
        <w:rPr>
          <w:rFonts w:cs="Arial"/>
          <w:sz w:val="24"/>
        </w:rPr>
      </w:pPr>
      <w:r>
        <w:rPr>
          <w:rFonts w:cs="Arial"/>
          <w:sz w:val="24"/>
        </w:rPr>
        <w:t>Use of external evaluator is good.</w:t>
      </w:r>
    </w:p>
    <w:p w:rsidR="002577FB" w:rsidRDefault="002577FB" w:rsidP="00536511">
      <w:pPr>
        <w:rPr>
          <w:rFonts w:cs="Arial"/>
          <w:sz w:val="24"/>
        </w:rPr>
      </w:pPr>
    </w:p>
    <w:p w:rsidR="002577FB" w:rsidRDefault="002577FB"/>
    <w:p w:rsidR="002577FB" w:rsidRP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32"/>
        </w:rPr>
      </w:pPr>
      <w:r w:rsidRPr="002577FB">
        <w:rPr>
          <w:rFonts w:cs="Arial"/>
          <w:b/>
          <w:bCs/>
          <w:i/>
          <w:sz w:val="32"/>
        </w:rPr>
        <w:t>Phase 3: Closing the Loop</w:t>
      </w:r>
    </w:p>
    <w:p w:rsidR="002577FB" w:rsidRPr="002577FB" w:rsidRDefault="002577FB" w:rsidP="002577FB">
      <w:pPr>
        <w:rPr>
          <w:rFonts w:cs="Arial"/>
          <w:i/>
          <w:sz w:val="24"/>
        </w:rPr>
      </w:pPr>
      <w:r w:rsidRPr="002577FB">
        <w:rPr>
          <w:rFonts w:cs="Arial"/>
          <w:i/>
          <w:sz w:val="24"/>
        </w:rPr>
        <w:t xml:space="preserve">To be filed the year after the </w:t>
      </w:r>
      <w:r>
        <w:rPr>
          <w:rFonts w:cs="Arial"/>
          <w:i/>
          <w:sz w:val="24"/>
        </w:rPr>
        <w:t xml:space="preserve">results </w:t>
      </w:r>
      <w:r w:rsidRPr="002577FB">
        <w:rPr>
          <w:rFonts w:cs="Arial"/>
          <w:i/>
          <w:sz w:val="24"/>
        </w:rPr>
        <w:t>assessment.</w:t>
      </w:r>
    </w:p>
    <w:p w:rsidR="002577FB" w:rsidRDefault="002577FB" w:rsidP="002577FB">
      <w:pPr>
        <w:rPr>
          <w:rFonts w:cs="Arial"/>
          <w:sz w:val="24"/>
        </w:rPr>
      </w:pPr>
      <w:r>
        <w:rPr>
          <w:rFonts w:cs="Arial"/>
          <w:b/>
          <w:sz w:val="24"/>
        </w:rPr>
        <w:t>Change Assessment</w:t>
      </w:r>
      <w:r>
        <w:rPr>
          <w:rFonts w:cs="Arial"/>
          <w:sz w:val="24"/>
        </w:rPr>
        <w:br/>
      </w:r>
      <w:r>
        <w:rPr>
          <w:rFonts w:cs="Arial"/>
          <w:sz w:val="20"/>
        </w:rPr>
        <w:t>Discuss how the actions taken in Phase 2 were assessed, and the results of that assessment</w:t>
      </w: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rPr>
          <w:rFonts w:cs="Arial"/>
          <w:sz w:val="24"/>
        </w:rPr>
      </w:pPr>
    </w:p>
    <w:p w:rsidR="002577FB" w:rsidRDefault="002577FB" w:rsidP="00536511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95494F">
      <w:pPr>
        <w:pStyle w:val="NoSpacing"/>
        <w:ind w:left="2160" w:firstLine="720"/>
      </w:pPr>
    </w:p>
    <w:p w:rsidR="0095494F" w:rsidRDefault="0095494F" w:rsidP="0095494F">
      <w:pPr>
        <w:pStyle w:val="NoSpacing"/>
        <w:ind w:left="2160" w:firstLine="720"/>
      </w:pPr>
    </w:p>
    <w:p w:rsidR="00536511" w:rsidRDefault="00536511">
      <w:r>
        <w:br w:type="page"/>
      </w:r>
    </w:p>
    <w:p w:rsidR="004576C9" w:rsidRPr="00E457D8" w:rsidRDefault="00536511" w:rsidP="00A75C8F">
      <w:r w:rsidRPr="00446FBA">
        <w:rPr>
          <w:b/>
          <w:sz w:val="28"/>
        </w:rPr>
        <w:lastRenderedPageBreak/>
        <w:t>Addendum: Rubrics used for this evaluation</w:t>
      </w:r>
      <w:r>
        <w:rPr>
          <w:noProof/>
        </w:rPr>
        <w:drawing>
          <wp:inline distT="0" distB="0" distL="0" distR="0" wp14:anchorId="58752ACA" wp14:editId="21F771C8">
            <wp:extent cx="5943600" cy="5062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D2E686" wp14:editId="37E289DB">
            <wp:extent cx="5943600" cy="49676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6C9" w:rsidRPr="00E457D8" w:rsidSect="00E457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80" w:rsidRDefault="00350580" w:rsidP="00455E53">
      <w:pPr>
        <w:spacing w:after="0" w:line="240" w:lineRule="auto"/>
      </w:pPr>
      <w:r>
        <w:separator/>
      </w:r>
    </w:p>
  </w:endnote>
  <w:endnote w:type="continuationSeparator" w:id="0">
    <w:p w:rsidR="00350580" w:rsidRDefault="00350580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0F2DCA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0F54A6">
          <w:rPr>
            <w:noProof/>
          </w:rPr>
          <w:t>MBA AoL Report AY15-16 LO 5 MBA 6013 20160713.docx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80" w:rsidRDefault="00350580" w:rsidP="00455E53">
      <w:pPr>
        <w:spacing w:after="0" w:line="240" w:lineRule="auto"/>
      </w:pPr>
      <w:r>
        <w:separator/>
      </w:r>
    </w:p>
  </w:footnote>
  <w:footnote w:type="continuationSeparator" w:id="0">
    <w:p w:rsidR="00350580" w:rsidRDefault="00350580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Management Assurance of Learning Department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68A"/>
    <w:rsid w:val="00056A13"/>
    <w:rsid w:val="000B3D43"/>
    <w:rsid w:val="000F2DCA"/>
    <w:rsid w:val="000F54A6"/>
    <w:rsid w:val="00110BBA"/>
    <w:rsid w:val="00195A69"/>
    <w:rsid w:val="001E5D95"/>
    <w:rsid w:val="002577FB"/>
    <w:rsid w:val="00273E4A"/>
    <w:rsid w:val="002B4923"/>
    <w:rsid w:val="002C17C7"/>
    <w:rsid w:val="002E002B"/>
    <w:rsid w:val="00333F59"/>
    <w:rsid w:val="003408BC"/>
    <w:rsid w:val="00350580"/>
    <w:rsid w:val="003A3931"/>
    <w:rsid w:val="003B7CCF"/>
    <w:rsid w:val="003D35D1"/>
    <w:rsid w:val="003E2716"/>
    <w:rsid w:val="003F2E0D"/>
    <w:rsid w:val="004214B1"/>
    <w:rsid w:val="00430D05"/>
    <w:rsid w:val="004447A2"/>
    <w:rsid w:val="00455E53"/>
    <w:rsid w:val="004576C9"/>
    <w:rsid w:val="004754AC"/>
    <w:rsid w:val="00497280"/>
    <w:rsid w:val="004B1AE7"/>
    <w:rsid w:val="00501C41"/>
    <w:rsid w:val="005034E3"/>
    <w:rsid w:val="00536511"/>
    <w:rsid w:val="00563AF9"/>
    <w:rsid w:val="00580984"/>
    <w:rsid w:val="005E6899"/>
    <w:rsid w:val="00662415"/>
    <w:rsid w:val="006868CF"/>
    <w:rsid w:val="006925E5"/>
    <w:rsid w:val="006A3BF3"/>
    <w:rsid w:val="006E36AE"/>
    <w:rsid w:val="00714359"/>
    <w:rsid w:val="007744B0"/>
    <w:rsid w:val="007935EC"/>
    <w:rsid w:val="007E522C"/>
    <w:rsid w:val="00837F39"/>
    <w:rsid w:val="0087327F"/>
    <w:rsid w:val="00883A01"/>
    <w:rsid w:val="008A4B71"/>
    <w:rsid w:val="008B73C9"/>
    <w:rsid w:val="00920480"/>
    <w:rsid w:val="00936A16"/>
    <w:rsid w:val="00952863"/>
    <w:rsid w:val="0095494F"/>
    <w:rsid w:val="00A75C8F"/>
    <w:rsid w:val="00A973CE"/>
    <w:rsid w:val="00B26775"/>
    <w:rsid w:val="00B8696C"/>
    <w:rsid w:val="00B92CBF"/>
    <w:rsid w:val="00B9309A"/>
    <w:rsid w:val="00BA469A"/>
    <w:rsid w:val="00BE764C"/>
    <w:rsid w:val="00C005E1"/>
    <w:rsid w:val="00C01F0E"/>
    <w:rsid w:val="00C615D5"/>
    <w:rsid w:val="00CF46B4"/>
    <w:rsid w:val="00D14217"/>
    <w:rsid w:val="00D16B58"/>
    <w:rsid w:val="00D4089B"/>
    <w:rsid w:val="00D97760"/>
    <w:rsid w:val="00DA7EF5"/>
    <w:rsid w:val="00E22367"/>
    <w:rsid w:val="00E457D8"/>
    <w:rsid w:val="00EB5F70"/>
    <w:rsid w:val="00F32954"/>
    <w:rsid w:val="00F74C56"/>
    <w:rsid w:val="00F94887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MBA%206013%20s16\MBA%206013%20LO5%20Test%20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MBA%206013%20s16\MBA%206013%20LO5%20Test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MBA LO #5 Group</a:t>
            </a:r>
            <a:r>
              <a:rPr lang="en-US" baseline="0"/>
              <a:t> Content</a:t>
            </a:r>
          </a:p>
          <a:p>
            <a:pPr>
              <a:defRPr/>
            </a:pPr>
            <a:r>
              <a:rPr lang="en-US" baseline="0"/>
              <a:t>Rubric </a:t>
            </a:r>
            <a:r>
              <a:rPr lang="en-US"/>
              <a:t>Performance</a:t>
            </a:r>
            <a:br>
              <a:rPr lang="en-US"/>
            </a:br>
            <a:r>
              <a:rPr lang="en-US"/>
              <a:t>MBA</a:t>
            </a:r>
            <a:r>
              <a:rPr lang="en-US" baseline="0"/>
              <a:t> 6013, Spring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'LO11 Content'!$A$17</c:f>
              <c:strCache>
                <c:ptCount val="1"/>
                <c:pt idx="0">
                  <c:v>Introduction</c:v>
                </c:pt>
              </c:strCache>
            </c:strRef>
          </c:tx>
          <c:invertIfNegative val="0"/>
          <c:cat>
            <c:strRef>
              <c:f>'LO11 Content'!$B$15:$E$15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Content'!$B$17:$E$17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'LO11 Content'!$A$18</c:f>
              <c:strCache>
                <c:ptCount val="1"/>
                <c:pt idx="0">
                  <c:v>Theses</c:v>
                </c:pt>
              </c:strCache>
            </c:strRef>
          </c:tx>
          <c:invertIfNegative val="0"/>
          <c:cat>
            <c:strRef>
              <c:f>'LO11 Content'!$B$15:$E$15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Content'!$B$18:$E$18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'LO11 Content'!$A$19</c:f>
              <c:strCache>
                <c:ptCount val="1"/>
                <c:pt idx="0">
                  <c:v>Connection</c:v>
                </c:pt>
              </c:strCache>
            </c:strRef>
          </c:tx>
          <c:invertIfNegative val="0"/>
          <c:cat>
            <c:strRef>
              <c:f>'LO11 Content'!$B$15:$E$15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Content'!$B$19:$E$19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'LO11 Content'!$A$20</c:f>
              <c:strCache>
                <c:ptCount val="1"/>
                <c:pt idx="0">
                  <c:v>Subject</c:v>
                </c:pt>
              </c:strCache>
            </c:strRef>
          </c:tx>
          <c:invertIfNegative val="0"/>
          <c:cat>
            <c:strRef>
              <c:f>'LO11 Content'!$B$15:$E$15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Content'!$B$20:$E$20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'LO11 Content'!$A$21</c:f>
              <c:strCache>
                <c:ptCount val="1"/>
                <c:pt idx="0">
                  <c:v>Organization</c:v>
                </c:pt>
              </c:strCache>
            </c:strRef>
          </c:tx>
          <c:invertIfNegative val="0"/>
          <c:cat>
            <c:strRef>
              <c:f>'LO11 Content'!$B$15:$E$15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Content'!$B$21:$E$21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89376"/>
        <c:axId val="35067008"/>
      </c:barChart>
      <c:catAx>
        <c:axId val="1239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35067008"/>
        <c:crosses val="autoZero"/>
        <c:auto val="1"/>
        <c:lblAlgn val="ctr"/>
        <c:lblOffset val="100"/>
        <c:noMultiLvlLbl val="0"/>
      </c:catAx>
      <c:valAx>
        <c:axId val="35067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Groups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398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74177426752825"/>
          <c:y val="8.4448818897637778E-2"/>
          <c:w val="0.16095518986751642"/>
          <c:h val="0.37672736220472441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MBA LO #5 Individual Delivery</a:t>
            </a:r>
          </a:p>
          <a:p>
            <a:pPr>
              <a:defRPr/>
            </a:pPr>
            <a:r>
              <a:rPr lang="en-US"/>
              <a:t>Rubric Performance</a:t>
            </a:r>
            <a:br>
              <a:rPr lang="en-US"/>
            </a:br>
            <a:r>
              <a:rPr lang="en-US"/>
              <a:t>MBA</a:t>
            </a:r>
            <a:r>
              <a:rPr lang="en-US" baseline="0"/>
              <a:t> 6013, Spring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'LO11 Delivery'!$A$17</c:f>
              <c:strCache>
                <c:ptCount val="1"/>
                <c:pt idx="0">
                  <c:v>Eye</c:v>
                </c:pt>
              </c:strCache>
            </c:strRef>
          </c:tx>
          <c:invertIfNegative val="0"/>
          <c:cat>
            <c:strRef>
              <c:f>'LO11 Delivery'!$B$15:$E$15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Delivery'!$B$17:$E$17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'LO11 Delivery'!$A$18</c:f>
              <c:strCache>
                <c:ptCount val="1"/>
                <c:pt idx="0">
                  <c:v>Movement</c:v>
                </c:pt>
              </c:strCache>
            </c:strRef>
          </c:tx>
          <c:invertIfNegative val="0"/>
          <c:cat>
            <c:strRef>
              <c:f>'LO11 Delivery'!$B$15:$E$15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Delivery'!$B$18:$E$18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'LO11 Delivery'!$A$19</c:f>
              <c:strCache>
                <c:ptCount val="1"/>
                <c:pt idx="0">
                  <c:v>Voice</c:v>
                </c:pt>
              </c:strCache>
            </c:strRef>
          </c:tx>
          <c:invertIfNegative val="0"/>
          <c:cat>
            <c:strRef>
              <c:f>'LO11 Delivery'!$B$15:$E$15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Delivery'!$B$19:$E$19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4"/>
          <c:order val="3"/>
          <c:tx>
            <c:strRef>
              <c:f>'LO11 Delivery'!$A$20</c:f>
              <c:strCache>
                <c:ptCount val="1"/>
                <c:pt idx="0">
                  <c:v>Fluency</c:v>
                </c:pt>
              </c:strCache>
            </c:strRef>
          </c:tx>
          <c:invertIfNegative val="0"/>
          <c:cat>
            <c:strRef>
              <c:f>'LO11 Delivery'!$B$15:$E$15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'LO11 Delivery'!$B$20:$E$20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99392"/>
        <c:axId val="35100928"/>
      </c:barChart>
      <c:catAx>
        <c:axId val="3509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35100928"/>
        <c:crosses val="autoZero"/>
        <c:auto val="1"/>
        <c:lblAlgn val="ctr"/>
        <c:lblOffset val="100"/>
        <c:noMultiLvlLbl val="0"/>
      </c:catAx>
      <c:valAx>
        <c:axId val="35100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09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74177426752825"/>
          <c:y val="8.4448818897637778E-2"/>
          <c:w val="0.16095518986751642"/>
          <c:h val="0.37672736220472441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Freeman, Eric S</cp:lastModifiedBy>
  <cp:revision>6</cp:revision>
  <cp:lastPrinted>2016-07-07T17:58:00Z</cp:lastPrinted>
  <dcterms:created xsi:type="dcterms:W3CDTF">2016-07-13T18:53:00Z</dcterms:created>
  <dcterms:modified xsi:type="dcterms:W3CDTF">2016-07-18T17:47:00Z</dcterms:modified>
</cp:coreProperties>
</file>