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C3" w:rsidRPr="0004568A" w:rsidRDefault="002A5CC3" w:rsidP="002A5CC3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MBA AY 2016-2017 Assessment</w:t>
      </w:r>
    </w:p>
    <w:p w:rsidR="000A05BC" w:rsidRPr="00187335" w:rsidRDefault="000A05BC" w:rsidP="000A05BC">
      <w:pPr>
        <w:rPr>
          <w:rFonts w:cs="Arial"/>
          <w:b/>
          <w:sz w:val="24"/>
        </w:rPr>
      </w:pPr>
      <w:r w:rsidRPr="00187335">
        <w:rPr>
          <w:rFonts w:cs="Arial"/>
          <w:b/>
          <w:bCs/>
          <w:i/>
          <w:sz w:val="28"/>
        </w:rPr>
        <w:t>Phase 1: Assessment Plan</w:t>
      </w:r>
    </w:p>
    <w:p w:rsidR="000A05BC" w:rsidRDefault="000A05BC" w:rsidP="000A05B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2A5CC3" w:rsidRDefault="002A5CC3" w:rsidP="002A5CC3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MBA LO 1 </w:t>
      </w:r>
      <w:r w:rsidRPr="001428DC">
        <w:rPr>
          <w:rFonts w:ascii="Calibri" w:eastAsia="Calibri" w:hAnsi="Calibri" w:cs="Times New Roman"/>
          <w:b/>
          <w:sz w:val="28"/>
          <w:szCs w:val="28"/>
        </w:rPr>
        <w:t>Fundamental Language and Skills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A5CC3" w:rsidRDefault="002A5CC3" w:rsidP="002A5CC3">
      <w:pPr>
        <w:ind w:left="360"/>
        <w:rPr>
          <w:rFonts w:ascii="Arial" w:eastAsia="Calibri" w:hAnsi="Arial" w:cs="Arial"/>
        </w:rPr>
      </w:pPr>
      <w:r w:rsidRPr="004E6E4D">
        <w:rPr>
          <w:rFonts w:ascii="Arial" w:eastAsia="Calibri" w:hAnsi="Arial" w:cs="Arial"/>
        </w:rPr>
        <w:t xml:space="preserve">Students will display mastery of the fundamental language and skills of core business areas. </w:t>
      </w:r>
    </w:p>
    <w:p w:rsidR="000A05BC" w:rsidRDefault="00E457D8" w:rsidP="000A05BC">
      <w:pPr>
        <w:rPr>
          <w:rFonts w:cs="Arial"/>
          <w:b/>
        </w:rPr>
      </w:pPr>
      <w:r w:rsidRPr="00714359">
        <w:rPr>
          <w:rFonts w:cs="Arial"/>
          <w:b/>
        </w:rPr>
        <w:t xml:space="preserve">Assessment Method: </w:t>
      </w:r>
    </w:p>
    <w:p w:rsidR="002A5CC3" w:rsidRDefault="002A5CC3" w:rsidP="002A5CC3">
      <w:pPr>
        <w:ind w:left="360"/>
        <w:rPr>
          <w:rFonts w:cs="Arial"/>
        </w:rPr>
      </w:pPr>
      <w:r>
        <w:rPr>
          <w:rFonts w:cs="Arial"/>
        </w:rPr>
        <w:t>Open-ended paper-based questions on final exam.</w:t>
      </w:r>
    </w:p>
    <w:p w:rsidR="00714359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Target</w:t>
      </w:r>
      <w:r w:rsidR="005034E3">
        <w:rPr>
          <w:rFonts w:cs="Arial"/>
          <w:b/>
        </w:rPr>
        <w:t>ed performance, based on rubrics</w:t>
      </w:r>
      <w:r w:rsidRPr="00714359">
        <w:rPr>
          <w:rFonts w:cs="Arial"/>
          <w:b/>
        </w:rPr>
        <w:t xml:space="preserve">: </w:t>
      </w:r>
    </w:p>
    <w:p w:rsidR="002A5CC3" w:rsidRPr="000A05BC" w:rsidRDefault="002A5CC3" w:rsidP="002A5CC3">
      <w:pPr>
        <w:ind w:left="360"/>
        <w:rPr>
          <w:rFonts w:cs="Arial"/>
        </w:rPr>
      </w:pPr>
      <w:r>
        <w:rPr>
          <w:rFonts w:cs="Arial"/>
        </w:rPr>
        <w:t>80% of students meet or exceed expectations</w:t>
      </w:r>
    </w:p>
    <w:p w:rsidR="000A05BC" w:rsidRPr="006876BA" w:rsidRDefault="000A05BC" w:rsidP="000A05BC">
      <w:pPr>
        <w:rPr>
          <w:rFonts w:cs="Arial"/>
          <w:b/>
        </w:rPr>
      </w:pPr>
      <w:r>
        <w:rPr>
          <w:rFonts w:cs="Arial"/>
          <w:b/>
        </w:rPr>
        <w:t>Evaluation Process</w:t>
      </w:r>
      <w:r w:rsidRPr="006876BA">
        <w:rPr>
          <w:rFonts w:cs="Arial"/>
          <w:b/>
        </w:rPr>
        <w:t>:</w:t>
      </w:r>
    </w:p>
    <w:p w:rsidR="000A05BC" w:rsidRDefault="002A5CC3" w:rsidP="000A05BC">
      <w:pPr>
        <w:ind w:left="360"/>
        <w:rPr>
          <w:rFonts w:cs="Arial"/>
          <w:b/>
        </w:rPr>
      </w:pPr>
      <w:r>
        <w:rPr>
          <w:rFonts w:cs="Arial"/>
        </w:rPr>
        <w:t>The evaluation was a set of 10 open ended questions on the final exam that tested student’s knowledge of business vocabulary.</w:t>
      </w:r>
    </w:p>
    <w:p w:rsidR="003408BC" w:rsidRPr="000A05BC" w:rsidRDefault="003408BC" w:rsidP="00714359">
      <w:pPr>
        <w:rPr>
          <w:rFonts w:cs="Arial"/>
          <w:b/>
        </w:rPr>
      </w:pPr>
      <w:r w:rsidRPr="000A05BC">
        <w:rPr>
          <w:rFonts w:cs="Arial"/>
          <w:b/>
        </w:rPr>
        <w:t>Rubric:</w:t>
      </w:r>
    </w:p>
    <w:p w:rsidR="002A5CC3" w:rsidRPr="00A75C8F" w:rsidRDefault="002A5CC3" w:rsidP="002A5CC3">
      <w:pPr>
        <w:ind w:left="360"/>
        <w:rPr>
          <w:rFonts w:cs="Arial"/>
        </w:rPr>
      </w:pPr>
      <w:r>
        <w:rPr>
          <w:noProof/>
        </w:rPr>
        <w:t>Test key</w:t>
      </w:r>
    </w:p>
    <w:p w:rsidR="000A05BC" w:rsidRPr="00714359" w:rsidRDefault="00CA47AA" w:rsidP="000A05BC">
      <w:pPr>
        <w:rPr>
          <w:rFonts w:cs="Arial"/>
          <w:b/>
        </w:rPr>
      </w:pPr>
      <w:r>
        <w:rPr>
          <w:rFonts w:cs="Arial"/>
          <w:b/>
        </w:rPr>
        <w:t>Course</w:t>
      </w:r>
      <w:r w:rsidR="000A05BC" w:rsidRPr="00714359">
        <w:rPr>
          <w:rFonts w:cs="Arial"/>
          <w:b/>
        </w:rPr>
        <w:t xml:space="preserve"> where </w:t>
      </w:r>
      <w:r w:rsidR="000A05BC">
        <w:rPr>
          <w:rFonts w:cs="Arial"/>
          <w:b/>
        </w:rPr>
        <w:t xml:space="preserve">learning outcome was </w:t>
      </w:r>
      <w:r w:rsidR="000A05BC" w:rsidRPr="00714359">
        <w:rPr>
          <w:rFonts w:cs="Arial"/>
          <w:b/>
        </w:rPr>
        <w:t>assessed:</w:t>
      </w:r>
    </w:p>
    <w:p w:rsidR="002A5CC3" w:rsidRDefault="002A5CC3" w:rsidP="002A5CC3">
      <w:pPr>
        <w:ind w:left="360"/>
        <w:rPr>
          <w:rFonts w:cs="Arial"/>
        </w:rPr>
      </w:pPr>
      <w:r>
        <w:rPr>
          <w:rFonts w:cs="Arial"/>
        </w:rPr>
        <w:t>MBA 6015-01 &amp; MBA 6015-02 (in spring 16; FT students)</w:t>
      </w:r>
    </w:p>
    <w:p w:rsidR="002A5CC3" w:rsidRDefault="002A5CC3" w:rsidP="002A5CC3">
      <w:pPr>
        <w:ind w:left="360"/>
        <w:rPr>
          <w:rFonts w:cs="Arial"/>
        </w:rPr>
      </w:pPr>
      <w:r>
        <w:rPr>
          <w:rFonts w:cs="Arial"/>
        </w:rPr>
        <w:t>MBA 6015-03 (in fall 16, PT students)</w:t>
      </w:r>
    </w:p>
    <w:p w:rsidR="00BE7125" w:rsidRDefault="00E457D8">
      <w:pPr>
        <w:rPr>
          <w:rFonts w:cs="Arial"/>
          <w:b/>
        </w:rPr>
      </w:pPr>
      <w:r w:rsidRPr="00714359">
        <w:rPr>
          <w:rFonts w:cs="Arial"/>
          <w:b/>
        </w:rPr>
        <w:t>Evaluator</w:t>
      </w:r>
      <w:r w:rsidR="005034E3">
        <w:rPr>
          <w:rFonts w:cs="Arial"/>
          <w:b/>
        </w:rPr>
        <w:t>(s)</w:t>
      </w:r>
      <w:r w:rsidR="00714359">
        <w:rPr>
          <w:rFonts w:cs="Arial"/>
          <w:b/>
        </w:rPr>
        <w:t>:</w:t>
      </w:r>
      <w:r w:rsidR="000A05BC">
        <w:rPr>
          <w:rFonts w:cs="Arial"/>
          <w:b/>
        </w:rPr>
        <w:t xml:space="preserve"> </w:t>
      </w:r>
    </w:p>
    <w:p w:rsidR="002A5CC3" w:rsidRDefault="002A5CC3" w:rsidP="002A5CC3">
      <w:pPr>
        <w:ind w:left="360"/>
        <w:rPr>
          <w:rFonts w:cs="Arial"/>
        </w:rPr>
      </w:pPr>
      <w:r>
        <w:rPr>
          <w:rFonts w:cs="Arial"/>
        </w:rPr>
        <w:t>Tom Grossman</w:t>
      </w:r>
    </w:p>
    <w:p w:rsidR="002A5CC3" w:rsidRDefault="002A5CC3" w:rsidP="002A5CC3">
      <w:pPr>
        <w:ind w:left="360"/>
        <w:rPr>
          <w:rFonts w:ascii="Arial" w:hAnsi="Arial" w:cs="Arial"/>
          <w:b/>
          <w:bCs/>
          <w:i/>
          <w:sz w:val="24"/>
        </w:rPr>
      </w:pPr>
      <w:r>
        <w:rPr>
          <w:rFonts w:cs="Arial"/>
        </w:rPr>
        <w:t>Frank Fletcher</w:t>
      </w:r>
    </w:p>
    <w:p w:rsidR="002577FB" w:rsidRPr="00187335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187335">
        <w:rPr>
          <w:rFonts w:cs="Arial"/>
          <w:b/>
          <w:bCs/>
          <w:i/>
          <w:sz w:val="28"/>
        </w:rPr>
        <w:t>Phase 2: Results Assessment</w:t>
      </w:r>
      <w:r w:rsidR="004754AC" w:rsidRPr="00187335">
        <w:rPr>
          <w:rFonts w:cs="Arial"/>
          <w:b/>
          <w:bCs/>
          <w:i/>
          <w:sz w:val="28"/>
        </w:rPr>
        <w:t xml:space="preserve"> and Planned Action</w:t>
      </w:r>
      <w:r w:rsidRPr="00187335">
        <w:rPr>
          <w:rFonts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2A5CC3" w:rsidRPr="001428DC" w:rsidRDefault="002A5CC3" w:rsidP="002A5CC3">
      <w:pPr>
        <w:rPr>
          <w:rFonts w:cs="Arial"/>
        </w:rPr>
      </w:pPr>
      <w:r w:rsidRPr="001428DC">
        <w:rPr>
          <w:rFonts w:cs="Arial"/>
        </w:rPr>
        <w:t xml:space="preserve">Full-time and part-time students were given different exams. </w:t>
      </w:r>
    </w:p>
    <w:p w:rsidR="002A5CC3" w:rsidRPr="00E873A1" w:rsidRDefault="002A5CC3" w:rsidP="002A5CC3">
      <w:pPr>
        <w:rPr>
          <w:rFonts w:cs="Arial"/>
        </w:rPr>
      </w:pPr>
      <w:r>
        <w:rPr>
          <w:rFonts w:cs="Arial"/>
        </w:rPr>
        <w:t xml:space="preserve">Full Time Students: </w:t>
      </w:r>
      <w:r w:rsidRPr="00E873A1">
        <w:rPr>
          <w:rFonts w:cs="Arial"/>
        </w:rPr>
        <w:t>The Vocabulary Te</w:t>
      </w:r>
      <w:r>
        <w:rPr>
          <w:rFonts w:cs="Arial"/>
        </w:rPr>
        <w:t>st was taken by hand and scored</w:t>
      </w:r>
      <w:r w:rsidRPr="00E873A1">
        <w:rPr>
          <w:rFonts w:cs="Arial"/>
        </w:rPr>
        <w:t xml:space="preserve"> by hand. The scores were entered into Canvas, where the Final Exam was based. (This data are from the Canvas Quiz used for the Final, Quiz Statistics\Student Analysis).</w:t>
      </w:r>
      <w:r>
        <w:rPr>
          <w:rFonts w:cs="Arial"/>
        </w:rPr>
        <w:t xml:space="preserve"> </w:t>
      </w:r>
      <w:r w:rsidRPr="00E873A1">
        <w:rPr>
          <w:rFonts w:cs="Arial"/>
        </w:rPr>
        <w:t xml:space="preserve">The maximum score </w:t>
      </w:r>
      <w:r>
        <w:rPr>
          <w:rFonts w:cs="Arial"/>
        </w:rPr>
        <w:t>wa</w:t>
      </w:r>
      <w:r w:rsidRPr="00E873A1">
        <w:rPr>
          <w:rFonts w:cs="Arial"/>
        </w:rPr>
        <w:t>s 12.</w:t>
      </w:r>
      <w:r>
        <w:rPr>
          <w:rFonts w:cs="Arial"/>
        </w:rPr>
        <w:t xml:space="preserve"> 54 students took the exam.</w:t>
      </w:r>
    </w:p>
    <w:p w:rsidR="002A5CC3" w:rsidRDefault="002A5CC3" w:rsidP="002A5CC3">
      <w:pPr>
        <w:rPr>
          <w:rFonts w:cs="Arial"/>
        </w:rPr>
      </w:pPr>
      <w:r>
        <w:rPr>
          <w:rFonts w:cs="Arial"/>
        </w:rPr>
        <w:t xml:space="preserve">Part Time Students: </w:t>
      </w:r>
      <w:r w:rsidRPr="00C94F23">
        <w:rPr>
          <w:rFonts w:cs="Arial"/>
        </w:rPr>
        <w:t>A Vocabulary Test that considers the fundamental language of business was taken as part of the final exam in 12/1/2016.</w:t>
      </w:r>
      <w:r>
        <w:rPr>
          <w:rFonts w:cs="Arial"/>
        </w:rPr>
        <w:t xml:space="preserve"> </w:t>
      </w:r>
      <w:r w:rsidRPr="00C94F23">
        <w:rPr>
          <w:rFonts w:cs="Arial"/>
        </w:rPr>
        <w:t xml:space="preserve">The numbers below indicate the number of students who </w:t>
      </w:r>
      <w:r w:rsidRPr="00C94F23">
        <w:rPr>
          <w:rFonts w:cs="Arial"/>
        </w:rPr>
        <w:lastRenderedPageBreak/>
        <w:t>achieved the indicated score on the Vocab</w:t>
      </w:r>
      <w:r>
        <w:rPr>
          <w:rFonts w:cs="Arial"/>
        </w:rPr>
        <w:t>ulary Test.  The maximum score wa</w:t>
      </w:r>
      <w:r w:rsidRPr="00C94F23">
        <w:rPr>
          <w:rFonts w:cs="Arial"/>
        </w:rPr>
        <w:t>s 10.</w:t>
      </w:r>
      <w:r>
        <w:rPr>
          <w:rFonts w:cs="Arial"/>
        </w:rPr>
        <w:t xml:space="preserve"> 34 students took the exam.</w:t>
      </w:r>
    </w:p>
    <w:p w:rsidR="002A5CC3" w:rsidRDefault="002A5CC3" w:rsidP="002A5CC3">
      <w:pPr>
        <w:rPr>
          <w:rFonts w:cs="Arial"/>
        </w:rPr>
      </w:pPr>
      <w:r>
        <w:rPr>
          <w:rFonts w:cs="Arial"/>
        </w:rPr>
        <w:t>Test Scoring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5CC3" w:rsidTr="009A3BA7">
        <w:tc>
          <w:tcPr>
            <w:tcW w:w="3116" w:type="dxa"/>
            <w:shd w:val="clear" w:color="auto" w:fill="D0CECE" w:themeFill="background2" w:themeFillShade="E6"/>
          </w:tcPr>
          <w:p w:rsidR="002A5CC3" w:rsidRDefault="002A5CC3" w:rsidP="009A3BA7">
            <w:pPr>
              <w:rPr>
                <w:rFonts w:cs="Arial"/>
              </w:rPr>
            </w:pPr>
            <w:r>
              <w:rPr>
                <w:rFonts w:cs="Arial"/>
              </w:rPr>
              <w:t>Achievement Level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Full Time Student Score</w:t>
            </w:r>
            <w:r>
              <w:rPr>
                <w:rFonts w:cs="Arial"/>
              </w:rPr>
              <w:br/>
              <w:t>Max Score = 12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Part Time Student Score</w:t>
            </w:r>
          </w:p>
          <w:p w:rsidR="002A5CC3" w:rsidRDefault="002A5CC3" w:rsidP="009A3B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Max Score = 10</w:t>
            </w:r>
          </w:p>
        </w:tc>
      </w:tr>
      <w:tr w:rsidR="002A5CC3" w:rsidTr="009A3BA7">
        <w:tc>
          <w:tcPr>
            <w:tcW w:w="3116" w:type="dxa"/>
          </w:tcPr>
          <w:p w:rsidR="002A5CC3" w:rsidRDefault="002A5CC3" w:rsidP="009A3BA7">
            <w:pPr>
              <w:rPr>
                <w:rFonts w:cs="Arial"/>
              </w:rPr>
            </w:pPr>
            <w:r>
              <w:rPr>
                <w:rFonts w:cs="Arial"/>
              </w:rPr>
              <w:t>Exceeds Expectation (90%)</w:t>
            </w:r>
          </w:p>
        </w:tc>
        <w:tc>
          <w:tcPr>
            <w:tcW w:w="3117" w:type="dxa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>
              <w:rPr>
                <w:rFonts w:cs="Arial"/>
              </w:rPr>
              <w:t>11</w:t>
            </w:r>
          </w:p>
        </w:tc>
        <w:tc>
          <w:tcPr>
            <w:tcW w:w="3117" w:type="dxa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>
              <w:rPr>
                <w:rFonts w:cs="Arial"/>
              </w:rPr>
              <w:t>9</w:t>
            </w:r>
          </w:p>
        </w:tc>
      </w:tr>
      <w:tr w:rsidR="002A5CC3" w:rsidTr="009A3BA7">
        <w:tc>
          <w:tcPr>
            <w:tcW w:w="3116" w:type="dxa"/>
          </w:tcPr>
          <w:p w:rsidR="002A5CC3" w:rsidRDefault="002A5CC3" w:rsidP="009A3BA7">
            <w:pPr>
              <w:rPr>
                <w:rFonts w:cs="Arial"/>
              </w:rPr>
            </w:pPr>
            <w:r>
              <w:rPr>
                <w:rFonts w:cs="Arial"/>
              </w:rPr>
              <w:t>Meets Expectation (80%)</w:t>
            </w:r>
          </w:p>
        </w:tc>
        <w:tc>
          <w:tcPr>
            <w:tcW w:w="3117" w:type="dxa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>
              <w:rPr>
                <w:rFonts w:cs="Arial"/>
              </w:rPr>
              <w:t>9.5</w:t>
            </w:r>
          </w:p>
        </w:tc>
        <w:tc>
          <w:tcPr>
            <w:tcW w:w="3117" w:type="dxa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>
              <w:rPr>
                <w:rFonts w:cs="Arial"/>
              </w:rPr>
              <w:t>8</w:t>
            </w:r>
          </w:p>
        </w:tc>
      </w:tr>
      <w:tr w:rsidR="002A5CC3" w:rsidTr="009A3BA7">
        <w:tc>
          <w:tcPr>
            <w:tcW w:w="3116" w:type="dxa"/>
          </w:tcPr>
          <w:p w:rsidR="002A5CC3" w:rsidRDefault="002A5CC3" w:rsidP="009A3BA7">
            <w:pPr>
              <w:rPr>
                <w:rFonts w:cs="Arial"/>
              </w:rPr>
            </w:pPr>
            <w:r>
              <w:rPr>
                <w:rFonts w:cs="Arial"/>
              </w:rPr>
              <w:t>Below Expectation (70%)</w:t>
            </w:r>
          </w:p>
        </w:tc>
        <w:tc>
          <w:tcPr>
            <w:tcW w:w="3117" w:type="dxa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>
              <w:rPr>
                <w:rFonts w:cs="Arial"/>
              </w:rPr>
              <w:t>8.4</w:t>
            </w:r>
          </w:p>
        </w:tc>
        <w:tc>
          <w:tcPr>
            <w:tcW w:w="3117" w:type="dxa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>
              <w:rPr>
                <w:rFonts w:cs="Arial"/>
              </w:rPr>
              <w:t>7</w:t>
            </w:r>
          </w:p>
        </w:tc>
      </w:tr>
      <w:tr w:rsidR="002A5CC3" w:rsidTr="009A3BA7">
        <w:tc>
          <w:tcPr>
            <w:tcW w:w="3116" w:type="dxa"/>
          </w:tcPr>
          <w:p w:rsidR="002A5CC3" w:rsidRDefault="002A5CC3" w:rsidP="009A3BA7">
            <w:pPr>
              <w:rPr>
                <w:rFonts w:cs="Arial"/>
              </w:rPr>
            </w:pPr>
            <w:r>
              <w:rPr>
                <w:rFonts w:cs="Arial"/>
              </w:rPr>
              <w:t>Unprepared</w:t>
            </w:r>
          </w:p>
        </w:tc>
        <w:tc>
          <w:tcPr>
            <w:tcW w:w="3117" w:type="dxa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&lt;8.4</w:t>
            </w:r>
          </w:p>
        </w:tc>
        <w:tc>
          <w:tcPr>
            <w:tcW w:w="3117" w:type="dxa"/>
          </w:tcPr>
          <w:p w:rsidR="002A5CC3" w:rsidRDefault="002A5CC3" w:rsidP="009A3B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&lt;7</w:t>
            </w:r>
          </w:p>
        </w:tc>
      </w:tr>
    </w:tbl>
    <w:p w:rsidR="002A5CC3" w:rsidRPr="00E873A1" w:rsidRDefault="002A5CC3" w:rsidP="002A5CC3">
      <w:pPr>
        <w:spacing w:after="0"/>
        <w:rPr>
          <w:rFonts w:cs="Arial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047"/>
        <w:gridCol w:w="1480"/>
        <w:gridCol w:w="1482"/>
        <w:gridCol w:w="1480"/>
        <w:gridCol w:w="1586"/>
        <w:gridCol w:w="234"/>
        <w:gridCol w:w="1586"/>
      </w:tblGrid>
      <w:tr w:rsidR="002A5CC3" w:rsidRPr="000A19C4" w:rsidTr="002A5CC3">
        <w:trPr>
          <w:trHeight w:val="284"/>
        </w:trPr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Number of students achieving target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542"/>
        </w:trPr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Full/Part Time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Exceeds Expectations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Meets Expectations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Below Expectations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Novice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% Students Meeting or Exceeding Expectations</w:t>
            </w:r>
          </w:p>
        </w:tc>
      </w:tr>
      <w:tr w:rsidR="002A5CC3" w:rsidRPr="000A19C4" w:rsidTr="002A5CC3">
        <w:trPr>
          <w:trHeight w:val="610"/>
        </w:trPr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5CC3" w:rsidRPr="000A19C4" w:rsidTr="002A5CC3">
        <w:trPr>
          <w:trHeight w:val="786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Full Time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76%</w:t>
            </w:r>
          </w:p>
        </w:tc>
      </w:tr>
      <w:tr w:rsidR="002A5CC3" w:rsidRPr="000A19C4" w:rsidTr="002A5CC3">
        <w:trPr>
          <w:trHeight w:val="786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Part Time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62%</w:t>
            </w:r>
          </w:p>
        </w:tc>
      </w:tr>
      <w:tr w:rsidR="002A5CC3" w:rsidRPr="000A19C4" w:rsidTr="002A5CC3">
        <w:trPr>
          <w:trHeight w:val="122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786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CC3" w:rsidRPr="000A19C4" w:rsidRDefault="002A5CC3" w:rsidP="009A3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A19C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70%</w:t>
            </w: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0A19C4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5D54939" wp14:editId="5266D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743575" cy="3057525"/>
                  <wp:effectExtent l="0" t="0" r="9525" b="9525"/>
                  <wp:wrapNone/>
                  <wp:docPr id="1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"/>
            </w:tblGrid>
            <w:tr w:rsidR="002A5CC3" w:rsidRPr="000A19C4" w:rsidTr="002A5CC3">
              <w:trPr>
                <w:trHeight w:val="271"/>
                <w:tblCellSpacing w:w="0" w:type="dxa"/>
              </w:trPr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CC3" w:rsidRPr="000A19C4" w:rsidRDefault="002A5CC3" w:rsidP="009A3B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A5CC3" w:rsidRPr="000A19C4" w:rsidRDefault="002A5CC3" w:rsidP="009A3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C3" w:rsidRPr="000A19C4" w:rsidTr="002A5CC3">
        <w:trPr>
          <w:trHeight w:val="271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C3" w:rsidRPr="000A19C4" w:rsidRDefault="002A5CC3" w:rsidP="009A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5CC3" w:rsidRDefault="002A5CC3" w:rsidP="002A5CC3">
      <w:pPr>
        <w:rPr>
          <w:rFonts w:cs="Arial"/>
          <w:b/>
          <w:sz w:val="28"/>
        </w:rPr>
      </w:pPr>
    </w:p>
    <w:p w:rsidR="002A5CC3" w:rsidRDefault="002A5CC3" w:rsidP="002A5CC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2577FB" w:rsidRDefault="009F64A1" w:rsidP="002577FB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lastRenderedPageBreak/>
        <w:t xml:space="preserve">Suggested </w:t>
      </w:r>
      <w:r w:rsidR="002577FB" w:rsidRPr="004754AC">
        <w:rPr>
          <w:rFonts w:cs="Arial"/>
          <w:b/>
          <w:sz w:val="28"/>
          <w:szCs w:val="28"/>
        </w:rPr>
        <w:t>Action:</w:t>
      </w:r>
    </w:p>
    <w:p w:rsidR="002577FB" w:rsidRDefault="00BE7125" w:rsidP="00BE7125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>Recommended action based on evaluation performance</w:t>
      </w:r>
    </w:p>
    <w:p w:rsidR="00BE7125" w:rsidRDefault="00187335" w:rsidP="00BE7125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This section can be used to suggest changes to the program, the assessment process, rubrics, or even the learning outcome itself. </w:t>
      </w:r>
    </w:p>
    <w:p w:rsidR="002577FB" w:rsidRDefault="002577FB"/>
    <w:p w:rsidR="00187335" w:rsidRDefault="002577F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78670B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87335" w:rsidRDefault="00187335" w:rsidP="00187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In the year that the assessment is made, this is good place to describe how the suggested actions might be evaluated in a future assessment cycle. When that cycle is complete, the results can be added to this document to finalize the report.</w:t>
      </w: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764BA9">
      <w:pPr>
        <w:pStyle w:val="NoSpacing"/>
        <w:ind w:left="2160" w:firstLine="720"/>
      </w:pPr>
    </w:p>
    <w:p w:rsidR="0095494F" w:rsidRDefault="0095494F" w:rsidP="00764BA9">
      <w:pPr>
        <w:pStyle w:val="NoSpacing"/>
        <w:ind w:left="2160" w:firstLine="720"/>
      </w:pPr>
    </w:p>
    <w:p w:rsidR="004576C9" w:rsidRPr="00E457D8" w:rsidRDefault="004576C9" w:rsidP="00A75C8F"/>
    <w:sectPr w:rsidR="004576C9" w:rsidRPr="00E457D8" w:rsidSect="00E457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7A" w:rsidRDefault="003F6C7A" w:rsidP="00455E53">
      <w:pPr>
        <w:spacing w:after="0" w:line="240" w:lineRule="auto"/>
      </w:pPr>
      <w:r>
        <w:separator/>
      </w:r>
    </w:p>
  </w:endnote>
  <w:end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D00EF6" w:rsidP="00455E53">
        <w:pPr>
          <w:pStyle w:val="Footer"/>
          <w:tabs>
            <w:tab w:val="clear" w:pos="4680"/>
            <w:tab w:val="left" w:pos="90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1406EC">
          <w:rPr>
            <w:noProof/>
          </w:rPr>
          <w:t>AoL Report Template 20160719.docx</w:t>
        </w:r>
        <w:r>
          <w:rPr>
            <w:noProof/>
          </w:rPr>
          <w:fldChar w:fldCharType="end"/>
        </w:r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7A" w:rsidRDefault="003F6C7A" w:rsidP="00455E53">
      <w:pPr>
        <w:spacing w:after="0" w:line="240" w:lineRule="auto"/>
      </w:pPr>
      <w:r>
        <w:separator/>
      </w:r>
    </w:p>
  </w:footnote>
  <w:foot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0"/>
    <w:rsid w:val="0004568A"/>
    <w:rsid w:val="000A05BC"/>
    <w:rsid w:val="000B3D43"/>
    <w:rsid w:val="000D30F9"/>
    <w:rsid w:val="001312FF"/>
    <w:rsid w:val="001406EC"/>
    <w:rsid w:val="00160362"/>
    <w:rsid w:val="00187335"/>
    <w:rsid w:val="00195A69"/>
    <w:rsid w:val="00242E76"/>
    <w:rsid w:val="002577FB"/>
    <w:rsid w:val="00273E4A"/>
    <w:rsid w:val="00293BC9"/>
    <w:rsid w:val="002A5CC3"/>
    <w:rsid w:val="002C17C7"/>
    <w:rsid w:val="00333F59"/>
    <w:rsid w:val="003408BC"/>
    <w:rsid w:val="003A3931"/>
    <w:rsid w:val="003B7CCF"/>
    <w:rsid w:val="003D35D1"/>
    <w:rsid w:val="003E2716"/>
    <w:rsid w:val="003F2E0D"/>
    <w:rsid w:val="003F6C7A"/>
    <w:rsid w:val="004214B1"/>
    <w:rsid w:val="004447A2"/>
    <w:rsid w:val="00455E53"/>
    <w:rsid w:val="004576C9"/>
    <w:rsid w:val="004754AC"/>
    <w:rsid w:val="00497280"/>
    <w:rsid w:val="004B1AE7"/>
    <w:rsid w:val="00501C41"/>
    <w:rsid w:val="005034E3"/>
    <w:rsid w:val="00580984"/>
    <w:rsid w:val="005824B0"/>
    <w:rsid w:val="005C6D3B"/>
    <w:rsid w:val="005E6899"/>
    <w:rsid w:val="00612359"/>
    <w:rsid w:val="006241AE"/>
    <w:rsid w:val="006925E5"/>
    <w:rsid w:val="006A3BF3"/>
    <w:rsid w:val="006E36AE"/>
    <w:rsid w:val="007048BA"/>
    <w:rsid w:val="00714359"/>
    <w:rsid w:val="007553C0"/>
    <w:rsid w:val="007553C5"/>
    <w:rsid w:val="00764BA9"/>
    <w:rsid w:val="0078304F"/>
    <w:rsid w:val="0078670B"/>
    <w:rsid w:val="007E522C"/>
    <w:rsid w:val="007F2187"/>
    <w:rsid w:val="00837F39"/>
    <w:rsid w:val="00883A01"/>
    <w:rsid w:val="008A2693"/>
    <w:rsid w:val="008A4B71"/>
    <w:rsid w:val="008E15B3"/>
    <w:rsid w:val="00920480"/>
    <w:rsid w:val="00936A16"/>
    <w:rsid w:val="0095494F"/>
    <w:rsid w:val="009708B3"/>
    <w:rsid w:val="009B4D3F"/>
    <w:rsid w:val="009E5387"/>
    <w:rsid w:val="009F64A1"/>
    <w:rsid w:val="00A30027"/>
    <w:rsid w:val="00A75C8F"/>
    <w:rsid w:val="00A973CE"/>
    <w:rsid w:val="00AC334D"/>
    <w:rsid w:val="00AD2342"/>
    <w:rsid w:val="00B26775"/>
    <w:rsid w:val="00B8696C"/>
    <w:rsid w:val="00B92CBF"/>
    <w:rsid w:val="00BA25C2"/>
    <w:rsid w:val="00BA469A"/>
    <w:rsid w:val="00BE7125"/>
    <w:rsid w:val="00BE764C"/>
    <w:rsid w:val="00C005E1"/>
    <w:rsid w:val="00C01F0E"/>
    <w:rsid w:val="00C615D5"/>
    <w:rsid w:val="00C918CA"/>
    <w:rsid w:val="00CA47AA"/>
    <w:rsid w:val="00CF46B4"/>
    <w:rsid w:val="00D00EF6"/>
    <w:rsid w:val="00D14217"/>
    <w:rsid w:val="00D16B58"/>
    <w:rsid w:val="00D4089B"/>
    <w:rsid w:val="00DA7EF5"/>
    <w:rsid w:val="00E22367"/>
    <w:rsid w:val="00E457D8"/>
    <w:rsid w:val="00E80E51"/>
    <w:rsid w:val="00EB5F70"/>
    <w:rsid w:val="00ED7CAD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762C830-1856-4752-A43B-372E58F4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freeman\Documents\Academic%20Affairs%20Department\AoL\AoL%20Data\MBA%206015%20Grossman%20LO1%20LO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MBA LO #1 Fundamental Language Skills</a:t>
            </a:r>
          </a:p>
          <a:p>
            <a:pPr>
              <a:defRPr/>
            </a:pPr>
            <a:r>
              <a:rPr lang="en-US"/>
              <a:t>MBA</a:t>
            </a:r>
            <a:r>
              <a:rPr lang="en-US" baseline="0"/>
              <a:t> 6015, Spring and Fall 2016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'MBA LO1 Results'!$A$10</c:f>
              <c:strCache>
                <c:ptCount val="1"/>
                <c:pt idx="0">
                  <c:v>Full Time</c:v>
                </c:pt>
              </c:strCache>
            </c:strRef>
          </c:tx>
          <c:invertIfNegative val="0"/>
          <c:cat>
            <c:strRef>
              <c:f>'MBA LO1 Results'!$B$8:$E$8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Unprepared</c:v>
                </c:pt>
              </c:strCache>
            </c:strRef>
          </c:cat>
          <c:val>
            <c:numRef>
              <c:f>'MBA LO1 Results'!$B$10:$E$10</c:f>
              <c:numCache>
                <c:formatCode>General</c:formatCode>
                <c:ptCount val="4"/>
                <c:pt idx="0">
                  <c:v>29</c:v>
                </c:pt>
                <c:pt idx="1">
                  <c:v>12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CB-4E10-819C-B24DCA1291C7}"/>
            </c:ext>
          </c:extLst>
        </c:ser>
        <c:ser>
          <c:idx val="3"/>
          <c:order val="1"/>
          <c:tx>
            <c:strRef>
              <c:f>'MBA LO1 Results'!$A$11</c:f>
              <c:strCache>
                <c:ptCount val="1"/>
                <c:pt idx="0">
                  <c:v>Part Time</c:v>
                </c:pt>
              </c:strCache>
            </c:strRef>
          </c:tx>
          <c:invertIfNegative val="0"/>
          <c:cat>
            <c:strRef>
              <c:f>'MBA LO1 Results'!$B$8:$E$8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Unprepared</c:v>
                </c:pt>
              </c:strCache>
            </c:strRef>
          </c:cat>
          <c:val>
            <c:numRef>
              <c:f>'MBA LO1 Results'!$B$11:$E$11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CB-4E10-819C-B24DCA129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70656"/>
        <c:axId val="156472448"/>
      </c:barChart>
      <c:catAx>
        <c:axId val="156470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472448"/>
        <c:crosses val="autoZero"/>
        <c:auto val="1"/>
        <c:lblAlgn val="ctr"/>
        <c:lblOffset val="100"/>
        <c:noMultiLvlLbl val="0"/>
      </c:catAx>
      <c:valAx>
        <c:axId val="156472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6470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88442738190064"/>
          <c:y val="0.36278852993843058"/>
          <c:w val="0.17859126802507946"/>
          <c:h val="0.19721522309711287"/>
        </c:manualLayout>
      </c:layout>
      <c:overlay val="1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835D-B0CE-464E-93D5-DA1A34F9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3</cp:revision>
  <cp:lastPrinted>2016-07-05T23:11:00Z</cp:lastPrinted>
  <dcterms:created xsi:type="dcterms:W3CDTF">2017-01-26T23:27:00Z</dcterms:created>
  <dcterms:modified xsi:type="dcterms:W3CDTF">2017-01-26T23:41:00Z</dcterms:modified>
</cp:coreProperties>
</file>