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BC" w:rsidRPr="0004568A" w:rsidRDefault="00D76431" w:rsidP="000A05BC">
      <w:pPr>
        <w:rPr>
          <w:rFonts w:cs="Arial"/>
          <w:b/>
          <w:bCs/>
          <w:sz w:val="40"/>
        </w:rPr>
      </w:pPr>
      <w:r>
        <w:rPr>
          <w:rFonts w:cs="Arial"/>
          <w:b/>
          <w:bCs/>
          <w:sz w:val="40"/>
        </w:rPr>
        <w:t>MGEM</w:t>
      </w:r>
      <w:r w:rsidR="000A05BC">
        <w:rPr>
          <w:rFonts w:cs="Arial"/>
          <w:b/>
          <w:bCs/>
          <w:sz w:val="40"/>
        </w:rPr>
        <w:t xml:space="preserve"> AY </w:t>
      </w:r>
      <w:r>
        <w:rPr>
          <w:rFonts w:cs="Arial"/>
          <w:b/>
          <w:bCs/>
          <w:sz w:val="40"/>
        </w:rPr>
        <w:t>2015</w:t>
      </w:r>
      <w:r w:rsidR="001406EC">
        <w:rPr>
          <w:rFonts w:cs="Arial"/>
          <w:b/>
          <w:bCs/>
          <w:sz w:val="40"/>
        </w:rPr>
        <w:t>-</w:t>
      </w:r>
      <w:r>
        <w:rPr>
          <w:rFonts w:cs="Arial"/>
          <w:b/>
          <w:bCs/>
          <w:sz w:val="40"/>
        </w:rPr>
        <w:t>2016</w:t>
      </w:r>
      <w:r w:rsidR="000A05BC">
        <w:rPr>
          <w:rFonts w:cs="Arial"/>
          <w:b/>
          <w:bCs/>
          <w:sz w:val="40"/>
        </w:rPr>
        <w:t xml:space="preserve"> Assessment</w:t>
      </w:r>
    </w:p>
    <w:p w:rsidR="000A05BC" w:rsidRPr="00187335" w:rsidRDefault="000A05BC" w:rsidP="000A05BC">
      <w:pPr>
        <w:rPr>
          <w:rFonts w:cs="Arial"/>
          <w:b/>
          <w:sz w:val="24"/>
        </w:rPr>
      </w:pPr>
      <w:r w:rsidRPr="00187335">
        <w:rPr>
          <w:rFonts w:cs="Arial"/>
          <w:b/>
          <w:bCs/>
          <w:i/>
          <w:sz w:val="28"/>
        </w:rPr>
        <w:t>Phase 1: Assessment Plan</w:t>
      </w:r>
    </w:p>
    <w:p w:rsidR="000A05BC" w:rsidRDefault="000A05BC" w:rsidP="000A05BC">
      <w:r w:rsidRPr="00E457D8">
        <w:rPr>
          <w:rFonts w:cs="Arial"/>
          <w:b/>
        </w:rPr>
        <w:t>Learning Outcome</w:t>
      </w:r>
      <w:r>
        <w:rPr>
          <w:rFonts w:cs="Arial"/>
          <w:b/>
        </w:rPr>
        <w:t xml:space="preserve"> assessed:</w:t>
      </w:r>
      <w:r w:rsidRPr="00E457D8">
        <w:t xml:space="preserve"> </w:t>
      </w:r>
    </w:p>
    <w:p w:rsidR="00D76431" w:rsidRPr="00BE48EB" w:rsidRDefault="00D76431" w:rsidP="005A3A69">
      <w:pPr>
        <w:ind w:left="360"/>
        <w:rPr>
          <w:sz w:val="28"/>
        </w:rPr>
      </w:pPr>
      <w:r w:rsidRPr="00BE48EB">
        <w:rPr>
          <w:b/>
          <w:sz w:val="28"/>
        </w:rPr>
        <w:t>MGEM</w:t>
      </w:r>
      <w:r w:rsidR="000A05BC" w:rsidRPr="00BE48EB">
        <w:rPr>
          <w:b/>
          <w:sz w:val="28"/>
        </w:rPr>
        <w:t xml:space="preserve"> Learning Outcome </w:t>
      </w:r>
      <w:r w:rsidRPr="00BE48EB">
        <w:rPr>
          <w:b/>
          <w:sz w:val="28"/>
        </w:rPr>
        <w:t>0</w:t>
      </w:r>
      <w:r w:rsidR="001E563C">
        <w:rPr>
          <w:b/>
          <w:sz w:val="28"/>
        </w:rPr>
        <w:t>5</w:t>
      </w:r>
      <w:r w:rsidRPr="00BE48EB">
        <w:rPr>
          <w:b/>
          <w:sz w:val="28"/>
        </w:rPr>
        <w:t>:</w:t>
      </w:r>
      <w:r w:rsidR="005A3A69">
        <w:rPr>
          <w:b/>
          <w:sz w:val="28"/>
        </w:rPr>
        <w:t xml:space="preserve"> </w:t>
      </w:r>
      <w:r w:rsidR="005A3A69" w:rsidRPr="005A3A69">
        <w:rPr>
          <w:b/>
          <w:sz w:val="28"/>
        </w:rPr>
        <w:t>Identify and Analyze Financial Information</w:t>
      </w:r>
      <w:r w:rsidR="00E80E51" w:rsidRPr="00BE48EB">
        <w:rPr>
          <w:b/>
          <w:sz w:val="28"/>
        </w:rPr>
        <w:br/>
      </w:r>
      <w:r w:rsidR="001E563C" w:rsidRPr="001E563C">
        <w:rPr>
          <w:iCs/>
          <w:sz w:val="28"/>
        </w:rPr>
        <w:t>Identify and analyze financial information to make effective managerial</w:t>
      </w:r>
    </w:p>
    <w:p w:rsidR="005A3A69" w:rsidRDefault="00E457D8" w:rsidP="0020636A">
      <w:pPr>
        <w:shd w:val="clear" w:color="auto" w:fill="FFFFFF"/>
        <w:spacing w:before="132" w:after="132"/>
        <w:jc w:val="both"/>
        <w:rPr>
          <w:rFonts w:cs="Arial"/>
          <w:b/>
        </w:rPr>
      </w:pPr>
      <w:r w:rsidRPr="00714359">
        <w:rPr>
          <w:rFonts w:cs="Arial"/>
          <w:b/>
        </w:rPr>
        <w:t xml:space="preserve">Assessment Method: </w:t>
      </w:r>
    </w:p>
    <w:p w:rsidR="0020636A" w:rsidRPr="005A3A69" w:rsidRDefault="001E563C" w:rsidP="005A3A69">
      <w:pPr>
        <w:shd w:val="clear" w:color="auto" w:fill="FFFFFF"/>
        <w:spacing w:before="132" w:after="132"/>
        <w:ind w:left="360"/>
        <w:jc w:val="both"/>
      </w:pPr>
      <w:r w:rsidRPr="005A3A69">
        <w:t>Individual Final Exams</w:t>
      </w:r>
    </w:p>
    <w:p w:rsidR="00714359" w:rsidRPr="00714359" w:rsidRDefault="00E457D8" w:rsidP="00714359">
      <w:pPr>
        <w:rPr>
          <w:rFonts w:cs="Arial"/>
          <w:b/>
        </w:rPr>
      </w:pPr>
      <w:r w:rsidRPr="00714359">
        <w:rPr>
          <w:rFonts w:cs="Arial"/>
          <w:b/>
        </w:rPr>
        <w:t>Target</w:t>
      </w:r>
      <w:r w:rsidR="005034E3">
        <w:rPr>
          <w:rFonts w:cs="Arial"/>
          <w:b/>
        </w:rPr>
        <w:t>ed performance, based on rubrics</w:t>
      </w:r>
      <w:r w:rsidRPr="00714359">
        <w:rPr>
          <w:rFonts w:cs="Arial"/>
          <w:b/>
        </w:rPr>
        <w:t xml:space="preserve">: </w:t>
      </w:r>
    </w:p>
    <w:p w:rsidR="00D76431" w:rsidRPr="00D76431" w:rsidRDefault="00D76431" w:rsidP="005A3A69">
      <w:pPr>
        <w:ind w:left="360"/>
        <w:rPr>
          <w:rFonts w:cs="Arial"/>
        </w:rPr>
      </w:pPr>
      <w:r w:rsidRPr="00D76431">
        <w:rPr>
          <w:rFonts w:cs="Arial"/>
        </w:rPr>
        <w:t>80% Exceeds Expectations</w:t>
      </w:r>
    </w:p>
    <w:p w:rsidR="000A05BC" w:rsidRPr="006876BA" w:rsidRDefault="000A05BC" w:rsidP="000A05BC">
      <w:pPr>
        <w:rPr>
          <w:rFonts w:cs="Arial"/>
          <w:b/>
        </w:rPr>
      </w:pPr>
      <w:r>
        <w:rPr>
          <w:rFonts w:cs="Arial"/>
          <w:b/>
        </w:rPr>
        <w:t>Evaluation Process</w:t>
      </w:r>
      <w:r w:rsidRPr="006876BA">
        <w:rPr>
          <w:rFonts w:cs="Arial"/>
          <w:b/>
        </w:rPr>
        <w:t>:</w:t>
      </w:r>
    </w:p>
    <w:p w:rsidR="001E563C" w:rsidRPr="00A91376" w:rsidRDefault="001E563C" w:rsidP="005A3A69">
      <w:pPr>
        <w:ind w:left="360"/>
      </w:pPr>
      <w:r w:rsidRPr="00A91376">
        <w:t xml:space="preserve">Students were tested with individual final exams containing both quantitative and qualitative questions. 2 open questions were assigned to test each four parts of the assessment rubric. </w:t>
      </w:r>
    </w:p>
    <w:p w:rsidR="003408BC" w:rsidRPr="00D76431" w:rsidRDefault="003408BC" w:rsidP="00714359">
      <w:pPr>
        <w:rPr>
          <w:rFonts w:cs="Arial"/>
        </w:rPr>
      </w:pPr>
      <w:r w:rsidRPr="000A05BC">
        <w:rPr>
          <w:rFonts w:cs="Arial"/>
          <w:b/>
        </w:rPr>
        <w:t>Rubric:</w:t>
      </w:r>
      <w:r w:rsidR="00D76431">
        <w:rPr>
          <w:rFonts w:cs="Arial"/>
          <w:b/>
        </w:rPr>
        <w:t xml:space="preserve"> </w:t>
      </w:r>
    </w:p>
    <w:tbl>
      <w:tblPr>
        <w:tblStyle w:val="TableGrid"/>
        <w:tblW w:w="0" w:type="auto"/>
        <w:tblInd w:w="468" w:type="dxa"/>
        <w:tblLook w:val="01E0" w:firstRow="1" w:lastRow="1" w:firstColumn="1" w:lastColumn="1" w:noHBand="0" w:noVBand="0"/>
      </w:tblPr>
      <w:tblGrid>
        <w:gridCol w:w="2214"/>
        <w:gridCol w:w="2214"/>
        <w:gridCol w:w="2214"/>
        <w:gridCol w:w="2214"/>
      </w:tblGrid>
      <w:tr w:rsidR="005A3A69" w:rsidRPr="001E563C" w:rsidTr="005A3A69">
        <w:tc>
          <w:tcPr>
            <w:tcW w:w="2214" w:type="dxa"/>
          </w:tcPr>
          <w:p w:rsidR="005A3A69" w:rsidRPr="001E563C" w:rsidRDefault="005A3A69" w:rsidP="00F70139">
            <w:pPr>
              <w:spacing w:after="160" w:line="259" w:lineRule="auto"/>
            </w:pPr>
            <w:r w:rsidRPr="001E563C">
              <w:t>1. Students will be able to calculate EBITDA used in companies valuations decisions</w:t>
            </w:r>
          </w:p>
        </w:tc>
        <w:tc>
          <w:tcPr>
            <w:tcW w:w="2214" w:type="dxa"/>
          </w:tcPr>
          <w:p w:rsidR="005A3A69" w:rsidRPr="001E563C" w:rsidRDefault="005A3A69" w:rsidP="00F70139">
            <w:pPr>
              <w:spacing w:after="160" w:line="259" w:lineRule="auto"/>
            </w:pPr>
            <w:r w:rsidRPr="001E563C">
              <w:t xml:space="preserve">Students will be able to correctly calculate EBITDA used in firms’ valuation </w:t>
            </w:r>
          </w:p>
        </w:tc>
        <w:tc>
          <w:tcPr>
            <w:tcW w:w="2214" w:type="dxa"/>
          </w:tcPr>
          <w:p w:rsidR="005A3A69" w:rsidRPr="001E563C" w:rsidRDefault="005A3A69" w:rsidP="00F70139">
            <w:pPr>
              <w:spacing w:after="160" w:line="259" w:lineRule="auto"/>
            </w:pPr>
            <w:r w:rsidRPr="001E563C">
              <w:t>Students will be able to apply the correct formula to calculate EBITDA with minor computational mistakes</w:t>
            </w:r>
          </w:p>
        </w:tc>
        <w:tc>
          <w:tcPr>
            <w:tcW w:w="2214" w:type="dxa"/>
          </w:tcPr>
          <w:p w:rsidR="005A3A69" w:rsidRPr="001E563C" w:rsidRDefault="005A3A69" w:rsidP="00F70139">
            <w:pPr>
              <w:spacing w:after="160" w:line="259" w:lineRule="auto"/>
            </w:pPr>
            <w:r w:rsidRPr="001E563C">
              <w:t>Students are unable to use the correct formula to calculate EBITDA, or use the formula with major computational mistakes</w:t>
            </w:r>
          </w:p>
        </w:tc>
      </w:tr>
      <w:tr w:rsidR="005A3A69" w:rsidRPr="001E563C" w:rsidTr="005A3A69">
        <w:tc>
          <w:tcPr>
            <w:tcW w:w="2214" w:type="dxa"/>
          </w:tcPr>
          <w:p w:rsidR="005A3A69" w:rsidRPr="001E563C" w:rsidRDefault="005A3A69" w:rsidP="00F70139">
            <w:pPr>
              <w:spacing w:after="160" w:line="259" w:lineRule="auto"/>
            </w:pPr>
            <w:r w:rsidRPr="001E563C">
              <w:t xml:space="preserve">2. Students will be familiar with cash management techniques </w:t>
            </w:r>
          </w:p>
        </w:tc>
        <w:tc>
          <w:tcPr>
            <w:tcW w:w="2214" w:type="dxa"/>
          </w:tcPr>
          <w:p w:rsidR="005A3A69" w:rsidRPr="001E563C" w:rsidRDefault="005A3A69" w:rsidP="00F70139">
            <w:pPr>
              <w:spacing w:after="160" w:line="259" w:lineRule="auto"/>
            </w:pPr>
            <w:r w:rsidRPr="001E563C">
              <w:t xml:space="preserve">Students can correctly use accounting data to evaluate firms’ cash management </w:t>
            </w:r>
          </w:p>
        </w:tc>
        <w:tc>
          <w:tcPr>
            <w:tcW w:w="2214" w:type="dxa"/>
          </w:tcPr>
          <w:p w:rsidR="005A3A69" w:rsidRPr="001E563C" w:rsidRDefault="005A3A69" w:rsidP="00F70139">
            <w:pPr>
              <w:spacing w:after="160" w:line="259" w:lineRule="auto"/>
            </w:pPr>
            <w:r w:rsidRPr="001E563C">
              <w:t>Minor error(s) in evaluate firms’ cash management</w:t>
            </w:r>
          </w:p>
        </w:tc>
        <w:tc>
          <w:tcPr>
            <w:tcW w:w="2214" w:type="dxa"/>
          </w:tcPr>
          <w:p w:rsidR="005A3A69" w:rsidRPr="001E563C" w:rsidRDefault="005A3A69" w:rsidP="00F70139">
            <w:pPr>
              <w:spacing w:after="160" w:line="259" w:lineRule="auto"/>
            </w:pPr>
            <w:r w:rsidRPr="001E563C">
              <w:t>Major error(s) in evaluate firms’ cash management</w:t>
            </w:r>
          </w:p>
        </w:tc>
      </w:tr>
      <w:tr w:rsidR="005A3A69" w:rsidRPr="001E563C" w:rsidTr="005A3A69">
        <w:tc>
          <w:tcPr>
            <w:tcW w:w="2214" w:type="dxa"/>
          </w:tcPr>
          <w:p w:rsidR="005A3A69" w:rsidRPr="001E563C" w:rsidRDefault="005A3A69" w:rsidP="00F70139">
            <w:pPr>
              <w:spacing w:after="160" w:line="259" w:lineRule="auto"/>
            </w:pPr>
            <w:r w:rsidRPr="001E563C">
              <w:t>3. Ability to distinguish between pre- and post-money firms’ valuation</w:t>
            </w:r>
          </w:p>
        </w:tc>
        <w:tc>
          <w:tcPr>
            <w:tcW w:w="2214" w:type="dxa"/>
          </w:tcPr>
          <w:p w:rsidR="005A3A69" w:rsidRPr="001E563C" w:rsidRDefault="005A3A69" w:rsidP="00F70139">
            <w:pPr>
              <w:spacing w:after="160" w:line="259" w:lineRule="auto"/>
            </w:pPr>
            <w:r w:rsidRPr="001E563C">
              <w:t>Students can calculate pre- and post-money firms’ valuation</w:t>
            </w:r>
          </w:p>
        </w:tc>
        <w:tc>
          <w:tcPr>
            <w:tcW w:w="2214" w:type="dxa"/>
          </w:tcPr>
          <w:p w:rsidR="005A3A69" w:rsidRPr="001E563C" w:rsidRDefault="005A3A69" w:rsidP="00F70139">
            <w:pPr>
              <w:spacing w:after="160" w:line="259" w:lineRule="auto"/>
            </w:pPr>
            <w:r w:rsidRPr="001E563C">
              <w:t>Minor mistake(s) in calculating pre- and post-money  firms’ valuation</w:t>
            </w:r>
          </w:p>
        </w:tc>
        <w:tc>
          <w:tcPr>
            <w:tcW w:w="2214" w:type="dxa"/>
          </w:tcPr>
          <w:p w:rsidR="005A3A69" w:rsidRPr="001E563C" w:rsidRDefault="005A3A69" w:rsidP="00F70139">
            <w:pPr>
              <w:spacing w:after="160" w:line="259" w:lineRule="auto"/>
            </w:pPr>
            <w:r w:rsidRPr="001E563C">
              <w:t>Major mistake(s) in calculating pre- and post-money firms’ valuation</w:t>
            </w:r>
          </w:p>
        </w:tc>
      </w:tr>
      <w:tr w:rsidR="005A3A69" w:rsidRPr="001E563C" w:rsidTr="005A3A69">
        <w:tc>
          <w:tcPr>
            <w:tcW w:w="2214" w:type="dxa"/>
          </w:tcPr>
          <w:p w:rsidR="005A3A69" w:rsidRPr="001E563C" w:rsidRDefault="005A3A69" w:rsidP="00F70139">
            <w:pPr>
              <w:spacing w:after="160" w:line="259" w:lineRule="auto"/>
            </w:pPr>
            <w:r w:rsidRPr="001E563C">
              <w:t>4. Calculate and use multiples used in firms’ valuation</w:t>
            </w:r>
          </w:p>
        </w:tc>
        <w:tc>
          <w:tcPr>
            <w:tcW w:w="2214" w:type="dxa"/>
          </w:tcPr>
          <w:p w:rsidR="005A3A69" w:rsidRPr="001E563C" w:rsidRDefault="005A3A69" w:rsidP="00F70139">
            <w:pPr>
              <w:spacing w:after="160" w:line="259" w:lineRule="auto"/>
            </w:pPr>
            <w:r w:rsidRPr="001E563C">
              <w:t>Students can correctly calculate and use multiples used in firms’ valuation</w:t>
            </w:r>
          </w:p>
        </w:tc>
        <w:tc>
          <w:tcPr>
            <w:tcW w:w="2214" w:type="dxa"/>
          </w:tcPr>
          <w:p w:rsidR="005A3A69" w:rsidRPr="001E563C" w:rsidRDefault="005A3A69" w:rsidP="00F70139">
            <w:pPr>
              <w:spacing w:after="160" w:line="259" w:lineRule="auto"/>
            </w:pPr>
            <w:r w:rsidRPr="001E563C">
              <w:t>Minor mistake(s) in calculating multiples used in firms’ valuation</w:t>
            </w:r>
          </w:p>
        </w:tc>
        <w:tc>
          <w:tcPr>
            <w:tcW w:w="2214" w:type="dxa"/>
          </w:tcPr>
          <w:p w:rsidR="005A3A69" w:rsidRPr="001E563C" w:rsidRDefault="005A3A69" w:rsidP="00F70139">
            <w:pPr>
              <w:spacing w:after="160" w:line="259" w:lineRule="auto"/>
            </w:pPr>
            <w:r w:rsidRPr="001E563C">
              <w:t>Major mistake(s) in calculating multiples used in firms’ valuation</w:t>
            </w:r>
          </w:p>
        </w:tc>
      </w:tr>
    </w:tbl>
    <w:p w:rsidR="00D76431" w:rsidRDefault="00D76431" w:rsidP="000A05BC">
      <w:pPr>
        <w:rPr>
          <w:noProof/>
        </w:rPr>
      </w:pPr>
    </w:p>
    <w:p w:rsidR="005A3A69" w:rsidRDefault="005A3A69">
      <w:pPr>
        <w:rPr>
          <w:rFonts w:cs="Arial"/>
          <w:b/>
        </w:rPr>
      </w:pPr>
      <w:r>
        <w:rPr>
          <w:rFonts w:cs="Arial"/>
          <w:b/>
        </w:rPr>
        <w:br w:type="page"/>
      </w:r>
    </w:p>
    <w:p w:rsidR="000A05BC" w:rsidRPr="00714359" w:rsidRDefault="00CA47AA" w:rsidP="000A05BC">
      <w:pPr>
        <w:rPr>
          <w:rFonts w:cs="Arial"/>
          <w:b/>
        </w:rPr>
      </w:pPr>
      <w:r>
        <w:rPr>
          <w:rFonts w:cs="Arial"/>
          <w:b/>
        </w:rPr>
        <w:lastRenderedPageBreak/>
        <w:t>Course</w:t>
      </w:r>
      <w:r w:rsidR="000A05BC" w:rsidRPr="00714359">
        <w:rPr>
          <w:rFonts w:cs="Arial"/>
          <w:b/>
        </w:rPr>
        <w:t xml:space="preserve"> where </w:t>
      </w:r>
      <w:r w:rsidR="000A05BC">
        <w:rPr>
          <w:rFonts w:cs="Arial"/>
          <w:b/>
        </w:rPr>
        <w:t xml:space="preserve">learning outcome was </w:t>
      </w:r>
      <w:r w:rsidR="000A05BC" w:rsidRPr="00714359">
        <w:rPr>
          <w:rFonts w:cs="Arial"/>
          <w:b/>
        </w:rPr>
        <w:t>assessed:</w:t>
      </w:r>
    </w:p>
    <w:p w:rsidR="001E563C" w:rsidRPr="00A91376" w:rsidRDefault="001E563C" w:rsidP="005A3A69">
      <w:pPr>
        <w:ind w:left="360"/>
      </w:pPr>
      <w:r w:rsidRPr="00A91376">
        <w:t>MGEM 5112 - Venture Capital, Corporate Entrepreneurship, and Micro Financing</w:t>
      </w:r>
    </w:p>
    <w:p w:rsidR="00BE7125" w:rsidRDefault="00E457D8">
      <w:pPr>
        <w:rPr>
          <w:rFonts w:cs="Arial"/>
          <w:b/>
        </w:rPr>
      </w:pPr>
      <w:r w:rsidRPr="00714359">
        <w:rPr>
          <w:rFonts w:cs="Arial"/>
          <w:b/>
        </w:rPr>
        <w:t>Evaluator</w:t>
      </w:r>
      <w:r w:rsidR="005034E3">
        <w:rPr>
          <w:rFonts w:cs="Arial"/>
          <w:b/>
        </w:rPr>
        <w:t>(s)</w:t>
      </w:r>
      <w:r w:rsidR="00714359">
        <w:rPr>
          <w:rFonts w:cs="Arial"/>
          <w:b/>
        </w:rPr>
        <w:t>:</w:t>
      </w:r>
      <w:r w:rsidR="000A05BC">
        <w:rPr>
          <w:rFonts w:cs="Arial"/>
          <w:b/>
        </w:rPr>
        <w:t xml:space="preserve"> </w:t>
      </w:r>
    </w:p>
    <w:p w:rsidR="001E563C" w:rsidRPr="00A91376" w:rsidRDefault="001E563C" w:rsidP="005A3A69">
      <w:pPr>
        <w:ind w:left="360"/>
      </w:pPr>
      <w:r w:rsidRPr="00A91376">
        <w:t xml:space="preserve">Yuri </w:t>
      </w:r>
      <w:proofErr w:type="spellStart"/>
      <w:r w:rsidRPr="00A91376">
        <w:t>Fedyk</w:t>
      </w:r>
      <w:proofErr w:type="spellEnd"/>
      <w:r w:rsidR="005A3A69">
        <w:t xml:space="preserve"> and</w:t>
      </w:r>
      <w:r w:rsidRPr="00A91376">
        <w:t xml:space="preserve"> </w:t>
      </w:r>
      <w:proofErr w:type="spellStart"/>
      <w:r w:rsidRPr="00A91376">
        <w:t>Gleb</w:t>
      </w:r>
      <w:proofErr w:type="spellEnd"/>
      <w:r w:rsidRPr="00A91376">
        <w:t xml:space="preserve"> </w:t>
      </w:r>
      <w:proofErr w:type="spellStart"/>
      <w:r w:rsidRPr="00A91376">
        <w:t>Nikitenko</w:t>
      </w:r>
      <w:proofErr w:type="spellEnd"/>
    </w:p>
    <w:p w:rsidR="000E01D7" w:rsidRDefault="000E01D7" w:rsidP="00D76431">
      <w:pPr>
        <w:widowControl w:val="0"/>
        <w:autoSpaceDE w:val="0"/>
        <w:autoSpaceDN w:val="0"/>
        <w:adjustRightInd w:val="0"/>
        <w:spacing w:after="0" w:line="240" w:lineRule="auto"/>
        <w:rPr>
          <w:rFonts w:cs="Arial"/>
        </w:rPr>
      </w:pPr>
    </w:p>
    <w:p w:rsidR="002577FB" w:rsidRPr="00187335" w:rsidRDefault="002577FB" w:rsidP="002577FB">
      <w:pPr>
        <w:widowControl w:val="0"/>
        <w:autoSpaceDE w:val="0"/>
        <w:autoSpaceDN w:val="0"/>
        <w:adjustRightInd w:val="0"/>
        <w:spacing w:after="0" w:line="240" w:lineRule="auto"/>
        <w:rPr>
          <w:rFonts w:cs="Arial"/>
          <w:b/>
          <w:bCs/>
          <w:sz w:val="32"/>
        </w:rPr>
      </w:pPr>
      <w:r w:rsidRPr="00187335">
        <w:rPr>
          <w:rFonts w:cs="Arial"/>
          <w:b/>
          <w:bCs/>
          <w:i/>
          <w:sz w:val="28"/>
        </w:rPr>
        <w:t>Phase 2: Results Assessment</w:t>
      </w:r>
      <w:r w:rsidR="004754AC" w:rsidRPr="00187335">
        <w:rPr>
          <w:rFonts w:cs="Arial"/>
          <w:b/>
          <w:bCs/>
          <w:i/>
          <w:sz w:val="28"/>
        </w:rPr>
        <w:t xml:space="preserve"> and Planned Action</w:t>
      </w:r>
      <w:r w:rsidRPr="00187335">
        <w:rPr>
          <w:rFonts w:cs="Arial"/>
          <w:b/>
          <w:bCs/>
          <w:i/>
          <w:sz w:val="24"/>
        </w:rPr>
        <w:br/>
      </w:r>
    </w:p>
    <w:p w:rsidR="001E563C" w:rsidRPr="005A3A69" w:rsidRDefault="002577FB" w:rsidP="001E563C">
      <w:pPr>
        <w:rPr>
          <w:rFonts w:cs="Arial"/>
          <w:b/>
          <w:sz w:val="28"/>
        </w:rPr>
      </w:pPr>
      <w:r>
        <w:rPr>
          <w:rFonts w:cs="Arial"/>
          <w:b/>
          <w:sz w:val="28"/>
        </w:rPr>
        <w:t>Results:</w:t>
      </w:r>
      <w:r w:rsidR="001E563C" w:rsidRPr="001E563C">
        <w:rPr>
          <w:b/>
          <w:u w:val="single"/>
        </w:rPr>
        <w:t xml:space="preserve"> </w:t>
      </w:r>
    </w:p>
    <w:tbl>
      <w:tblPr>
        <w:tblW w:w="8280" w:type="dxa"/>
        <w:tblInd w:w="98" w:type="dxa"/>
        <w:tblLook w:val="04A0" w:firstRow="1" w:lastRow="0" w:firstColumn="1" w:lastColumn="0" w:noHBand="0" w:noVBand="1"/>
      </w:tblPr>
      <w:tblGrid>
        <w:gridCol w:w="3356"/>
        <w:gridCol w:w="1237"/>
        <w:gridCol w:w="1000"/>
        <w:gridCol w:w="1000"/>
        <w:gridCol w:w="222"/>
        <w:gridCol w:w="1465"/>
      </w:tblGrid>
      <w:tr w:rsidR="00A72B64" w:rsidRPr="00A72B64" w:rsidTr="00A72B64">
        <w:trPr>
          <w:trHeight w:val="700"/>
        </w:trPr>
        <w:tc>
          <w:tcPr>
            <w:tcW w:w="33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2B64" w:rsidRPr="00A72B64" w:rsidRDefault="00A72B64" w:rsidP="00A72B64">
            <w:pPr>
              <w:spacing w:after="0" w:line="240" w:lineRule="auto"/>
              <w:rPr>
                <w:rFonts w:ascii="Calibri" w:eastAsia="Times New Roman" w:hAnsi="Calibri" w:cs="Times New Roman"/>
                <w:color w:val="000000"/>
              </w:rPr>
            </w:pPr>
            <w:r w:rsidRPr="00A72B64">
              <w:rPr>
                <w:rFonts w:ascii="Calibri" w:eastAsia="Times New Roman" w:hAnsi="Calibri" w:cs="Times New Roman"/>
                <w:color w:val="000000"/>
              </w:rPr>
              <w:t>Categories:</w:t>
            </w:r>
          </w:p>
        </w:tc>
        <w:tc>
          <w:tcPr>
            <w:tcW w:w="1237" w:type="dxa"/>
            <w:tcBorders>
              <w:top w:val="single" w:sz="8" w:space="0" w:color="auto"/>
              <w:left w:val="nil"/>
              <w:bottom w:val="nil"/>
              <w:right w:val="single" w:sz="4" w:space="0" w:color="auto"/>
            </w:tcBorders>
            <w:shd w:val="clear" w:color="auto" w:fill="auto"/>
            <w:hideMark/>
          </w:tcPr>
          <w:p w:rsidR="00A72B64" w:rsidRPr="00A72B64" w:rsidRDefault="00A72B64" w:rsidP="00A72B64">
            <w:pPr>
              <w:spacing w:after="0" w:line="240" w:lineRule="auto"/>
              <w:jc w:val="center"/>
              <w:rPr>
                <w:rFonts w:ascii="Arial Narrow" w:eastAsia="Times New Roman" w:hAnsi="Arial Narrow" w:cs="Times New Roman"/>
                <w:color w:val="000000"/>
                <w:sz w:val="20"/>
                <w:szCs w:val="20"/>
              </w:rPr>
            </w:pPr>
            <w:r w:rsidRPr="00A72B64">
              <w:rPr>
                <w:rFonts w:ascii="Arial Narrow" w:eastAsia="Times New Roman" w:hAnsi="Arial Narrow" w:cs="Times New Roman"/>
                <w:color w:val="000000"/>
                <w:sz w:val="20"/>
                <w:szCs w:val="20"/>
              </w:rPr>
              <w:t>Accomplished</w:t>
            </w:r>
          </w:p>
        </w:tc>
        <w:tc>
          <w:tcPr>
            <w:tcW w:w="1000" w:type="dxa"/>
            <w:tcBorders>
              <w:top w:val="single" w:sz="8" w:space="0" w:color="auto"/>
              <w:left w:val="nil"/>
              <w:bottom w:val="nil"/>
              <w:right w:val="single" w:sz="4" w:space="0" w:color="auto"/>
            </w:tcBorders>
            <w:shd w:val="clear" w:color="auto" w:fill="auto"/>
            <w:hideMark/>
          </w:tcPr>
          <w:p w:rsidR="00A72B64" w:rsidRPr="00A72B64" w:rsidRDefault="00A72B64" w:rsidP="00A72B64">
            <w:pPr>
              <w:spacing w:after="0" w:line="240" w:lineRule="auto"/>
              <w:jc w:val="center"/>
              <w:rPr>
                <w:rFonts w:ascii="Arial Narrow" w:eastAsia="Times New Roman" w:hAnsi="Arial Narrow" w:cs="Times New Roman"/>
                <w:color w:val="000000"/>
                <w:sz w:val="20"/>
                <w:szCs w:val="20"/>
              </w:rPr>
            </w:pPr>
            <w:r w:rsidRPr="00A72B64">
              <w:rPr>
                <w:rFonts w:ascii="Arial Narrow" w:eastAsia="Times New Roman" w:hAnsi="Arial Narrow" w:cs="Times New Roman"/>
                <w:color w:val="000000"/>
                <w:sz w:val="20"/>
                <w:szCs w:val="20"/>
              </w:rPr>
              <w:t>Proficient</w:t>
            </w:r>
          </w:p>
        </w:tc>
        <w:tc>
          <w:tcPr>
            <w:tcW w:w="1000" w:type="dxa"/>
            <w:tcBorders>
              <w:top w:val="single" w:sz="8" w:space="0" w:color="auto"/>
              <w:left w:val="nil"/>
              <w:bottom w:val="nil"/>
              <w:right w:val="single" w:sz="8" w:space="0" w:color="auto"/>
            </w:tcBorders>
            <w:shd w:val="clear" w:color="auto" w:fill="auto"/>
            <w:hideMark/>
          </w:tcPr>
          <w:p w:rsidR="00A72B64" w:rsidRPr="00A72B64" w:rsidRDefault="00A72B64" w:rsidP="00A72B64">
            <w:pPr>
              <w:spacing w:after="0" w:line="240" w:lineRule="auto"/>
              <w:jc w:val="center"/>
              <w:rPr>
                <w:rFonts w:ascii="Arial Narrow" w:eastAsia="Times New Roman" w:hAnsi="Arial Narrow" w:cs="Times New Roman"/>
                <w:color w:val="000000"/>
                <w:sz w:val="20"/>
                <w:szCs w:val="20"/>
              </w:rPr>
            </w:pPr>
            <w:r w:rsidRPr="00A72B64">
              <w:rPr>
                <w:rFonts w:ascii="Arial Narrow" w:eastAsia="Times New Roman" w:hAnsi="Arial Narrow" w:cs="Times New Roman"/>
                <w:color w:val="000000"/>
                <w:sz w:val="20"/>
                <w:szCs w:val="20"/>
              </w:rPr>
              <w:t>Beginning</w:t>
            </w: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72B64" w:rsidRPr="00A72B64" w:rsidRDefault="00A72B64" w:rsidP="00A72B64">
            <w:pPr>
              <w:spacing w:after="0" w:line="240" w:lineRule="auto"/>
              <w:jc w:val="center"/>
              <w:rPr>
                <w:rFonts w:ascii="Calibri" w:eastAsia="Times New Roman" w:hAnsi="Calibri" w:cs="Times New Roman"/>
                <w:color w:val="000000"/>
              </w:rPr>
            </w:pPr>
            <w:r w:rsidRPr="00A72B64">
              <w:rPr>
                <w:rFonts w:ascii="Calibri" w:eastAsia="Times New Roman" w:hAnsi="Calibri" w:cs="Times New Roman"/>
                <w:color w:val="000000"/>
              </w:rPr>
              <w:t>% Students at Exemplary or Accomplished Level</w:t>
            </w:r>
          </w:p>
        </w:tc>
      </w:tr>
      <w:tr w:rsidR="00A72B64" w:rsidRPr="00A72B64" w:rsidTr="00A72B64">
        <w:trPr>
          <w:trHeight w:val="315"/>
        </w:trPr>
        <w:tc>
          <w:tcPr>
            <w:tcW w:w="3356" w:type="dxa"/>
            <w:vMerge/>
            <w:tcBorders>
              <w:top w:val="single" w:sz="8" w:space="0" w:color="auto"/>
              <w:left w:val="single" w:sz="8" w:space="0" w:color="auto"/>
              <w:bottom w:val="single" w:sz="8" w:space="0" w:color="000000"/>
              <w:right w:val="single" w:sz="8" w:space="0" w:color="auto"/>
            </w:tcBorders>
            <w:vAlign w:val="center"/>
            <w:hideMark/>
          </w:tcPr>
          <w:p w:rsidR="00A72B64" w:rsidRPr="00A72B64" w:rsidRDefault="00A72B64" w:rsidP="00A72B64">
            <w:pPr>
              <w:spacing w:after="0" w:line="240" w:lineRule="auto"/>
              <w:rPr>
                <w:rFonts w:ascii="Calibri" w:eastAsia="Times New Roman" w:hAnsi="Calibri" w:cs="Times New Roman"/>
                <w:color w:val="000000"/>
              </w:rPr>
            </w:pPr>
          </w:p>
        </w:tc>
        <w:tc>
          <w:tcPr>
            <w:tcW w:w="1237" w:type="dxa"/>
            <w:tcBorders>
              <w:top w:val="nil"/>
              <w:left w:val="nil"/>
              <w:bottom w:val="single" w:sz="8" w:space="0" w:color="auto"/>
              <w:right w:val="single" w:sz="4" w:space="0" w:color="auto"/>
            </w:tcBorders>
            <w:shd w:val="clear" w:color="auto" w:fill="auto"/>
            <w:hideMark/>
          </w:tcPr>
          <w:p w:rsidR="00A72B64" w:rsidRPr="00A72B64" w:rsidRDefault="00A72B64" w:rsidP="00A72B64">
            <w:pPr>
              <w:spacing w:after="0" w:line="240" w:lineRule="auto"/>
              <w:jc w:val="center"/>
              <w:rPr>
                <w:rFonts w:ascii="Calibri" w:eastAsia="Times New Roman" w:hAnsi="Calibri" w:cs="Times New Roman"/>
                <w:color w:val="000000"/>
              </w:rPr>
            </w:pPr>
            <w:r w:rsidRPr="00A72B64">
              <w:rPr>
                <w:rFonts w:ascii="Calibri" w:eastAsia="Times New Roman" w:hAnsi="Calibri" w:cs="Times New Roman"/>
                <w:color w:val="000000"/>
              </w:rPr>
              <w:t>3</w:t>
            </w:r>
          </w:p>
        </w:tc>
        <w:tc>
          <w:tcPr>
            <w:tcW w:w="1000" w:type="dxa"/>
            <w:tcBorders>
              <w:top w:val="nil"/>
              <w:left w:val="nil"/>
              <w:bottom w:val="single" w:sz="8" w:space="0" w:color="auto"/>
              <w:right w:val="single" w:sz="4" w:space="0" w:color="auto"/>
            </w:tcBorders>
            <w:shd w:val="clear" w:color="auto" w:fill="auto"/>
            <w:hideMark/>
          </w:tcPr>
          <w:p w:rsidR="00A72B64" w:rsidRPr="00A72B64" w:rsidRDefault="00A72B64" w:rsidP="00A72B64">
            <w:pPr>
              <w:spacing w:after="0" w:line="240" w:lineRule="auto"/>
              <w:jc w:val="center"/>
              <w:rPr>
                <w:rFonts w:ascii="Calibri" w:eastAsia="Times New Roman" w:hAnsi="Calibri" w:cs="Times New Roman"/>
                <w:color w:val="000000"/>
              </w:rPr>
            </w:pPr>
            <w:r w:rsidRPr="00A72B64">
              <w:rPr>
                <w:rFonts w:ascii="Calibri" w:eastAsia="Times New Roman" w:hAnsi="Calibri" w:cs="Times New Roman"/>
                <w:color w:val="000000"/>
              </w:rPr>
              <w:t>2</w:t>
            </w:r>
          </w:p>
        </w:tc>
        <w:tc>
          <w:tcPr>
            <w:tcW w:w="1000" w:type="dxa"/>
            <w:tcBorders>
              <w:top w:val="nil"/>
              <w:left w:val="nil"/>
              <w:bottom w:val="single" w:sz="8" w:space="0" w:color="auto"/>
              <w:right w:val="single" w:sz="8" w:space="0" w:color="auto"/>
            </w:tcBorders>
            <w:shd w:val="clear" w:color="auto" w:fill="auto"/>
            <w:hideMark/>
          </w:tcPr>
          <w:p w:rsidR="00A72B64" w:rsidRPr="00A72B64" w:rsidRDefault="00A72B64" w:rsidP="00A72B64">
            <w:pPr>
              <w:spacing w:after="0" w:line="240" w:lineRule="auto"/>
              <w:jc w:val="center"/>
              <w:rPr>
                <w:rFonts w:ascii="Calibri" w:eastAsia="Times New Roman" w:hAnsi="Calibri" w:cs="Times New Roman"/>
                <w:color w:val="000000"/>
              </w:rPr>
            </w:pPr>
            <w:r w:rsidRPr="00A72B64">
              <w:rPr>
                <w:rFonts w:ascii="Calibri" w:eastAsia="Times New Roman" w:hAnsi="Calibri" w:cs="Times New Roman"/>
                <w:color w:val="000000"/>
              </w:rPr>
              <w:t>1</w:t>
            </w: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vMerge/>
            <w:tcBorders>
              <w:top w:val="single" w:sz="8" w:space="0" w:color="auto"/>
              <w:left w:val="single" w:sz="8" w:space="0" w:color="auto"/>
              <w:bottom w:val="single" w:sz="8" w:space="0" w:color="000000"/>
              <w:right w:val="single" w:sz="8" w:space="0" w:color="auto"/>
            </w:tcBorders>
            <w:vAlign w:val="center"/>
            <w:hideMark/>
          </w:tcPr>
          <w:p w:rsidR="00A72B64" w:rsidRPr="00A72B64" w:rsidRDefault="00A72B64" w:rsidP="00A72B64">
            <w:pPr>
              <w:spacing w:after="0" w:line="240" w:lineRule="auto"/>
              <w:rPr>
                <w:rFonts w:ascii="Calibri" w:eastAsia="Times New Roman" w:hAnsi="Calibri" w:cs="Times New Roman"/>
                <w:color w:val="000000"/>
              </w:rPr>
            </w:pPr>
          </w:p>
        </w:tc>
      </w:tr>
      <w:tr w:rsidR="00A72B64" w:rsidRPr="00A72B64" w:rsidTr="00A72B64">
        <w:trPr>
          <w:trHeight w:val="880"/>
        </w:trPr>
        <w:tc>
          <w:tcPr>
            <w:tcW w:w="3356" w:type="dxa"/>
            <w:tcBorders>
              <w:top w:val="nil"/>
              <w:left w:val="single" w:sz="8" w:space="0" w:color="auto"/>
              <w:bottom w:val="single" w:sz="4" w:space="0" w:color="auto"/>
              <w:right w:val="single" w:sz="8" w:space="0" w:color="auto"/>
            </w:tcBorders>
            <w:shd w:val="clear" w:color="auto" w:fill="auto"/>
            <w:vAlign w:val="center"/>
            <w:hideMark/>
          </w:tcPr>
          <w:p w:rsidR="00A72B64" w:rsidRPr="00A72B64" w:rsidRDefault="00A72B64" w:rsidP="00A72B64">
            <w:pPr>
              <w:spacing w:after="0" w:line="240" w:lineRule="auto"/>
              <w:rPr>
                <w:rFonts w:ascii="Calibri" w:eastAsia="Times New Roman" w:hAnsi="Calibri" w:cs="Times New Roman"/>
                <w:color w:val="000000"/>
                <w:sz w:val="20"/>
                <w:szCs w:val="20"/>
              </w:rPr>
            </w:pPr>
            <w:r w:rsidRPr="00A72B64">
              <w:rPr>
                <w:rFonts w:ascii="Calibri" w:eastAsia="Times New Roman" w:hAnsi="Calibri" w:cs="Times New Roman"/>
                <w:color w:val="000000"/>
                <w:sz w:val="20"/>
                <w:szCs w:val="20"/>
              </w:rPr>
              <w:t>1. Students will be able to calculate EBITDA used in companies valuations decisions</w:t>
            </w:r>
          </w:p>
        </w:tc>
        <w:tc>
          <w:tcPr>
            <w:tcW w:w="1237" w:type="dxa"/>
            <w:tcBorders>
              <w:top w:val="nil"/>
              <w:left w:val="nil"/>
              <w:bottom w:val="single" w:sz="4" w:space="0" w:color="auto"/>
              <w:right w:val="single" w:sz="4" w:space="0" w:color="auto"/>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r w:rsidRPr="00A72B64">
              <w:rPr>
                <w:rFonts w:ascii="Calibri" w:eastAsia="Times New Roman" w:hAnsi="Calibri" w:cs="Times New Roman"/>
                <w:color w:val="000000"/>
                <w:sz w:val="32"/>
                <w:szCs w:val="32"/>
              </w:rPr>
              <w:t>28</w:t>
            </w:r>
          </w:p>
        </w:tc>
        <w:tc>
          <w:tcPr>
            <w:tcW w:w="1000" w:type="dxa"/>
            <w:tcBorders>
              <w:top w:val="nil"/>
              <w:left w:val="nil"/>
              <w:bottom w:val="single" w:sz="4" w:space="0" w:color="auto"/>
              <w:right w:val="single" w:sz="4" w:space="0" w:color="auto"/>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r w:rsidRPr="00A72B64">
              <w:rPr>
                <w:rFonts w:ascii="Calibri" w:eastAsia="Times New Roman" w:hAnsi="Calibri" w:cs="Times New Roman"/>
                <w:color w:val="000000"/>
                <w:sz w:val="32"/>
                <w:szCs w:val="32"/>
              </w:rPr>
              <w:t>1</w:t>
            </w:r>
          </w:p>
        </w:tc>
        <w:tc>
          <w:tcPr>
            <w:tcW w:w="1000" w:type="dxa"/>
            <w:tcBorders>
              <w:top w:val="nil"/>
              <w:left w:val="nil"/>
              <w:bottom w:val="single" w:sz="4" w:space="0" w:color="auto"/>
              <w:right w:val="single" w:sz="8" w:space="0" w:color="auto"/>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r w:rsidRPr="00A72B64">
              <w:rPr>
                <w:rFonts w:ascii="Calibri" w:eastAsia="Times New Roman" w:hAnsi="Calibri" w:cs="Times New Roman"/>
                <w:color w:val="000000"/>
                <w:sz w:val="32"/>
                <w:szCs w:val="32"/>
              </w:rPr>
              <w:t>12</w:t>
            </w: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tcBorders>
              <w:top w:val="nil"/>
              <w:left w:val="single" w:sz="8" w:space="0" w:color="auto"/>
              <w:bottom w:val="single" w:sz="4" w:space="0" w:color="auto"/>
              <w:right w:val="single" w:sz="8" w:space="0" w:color="auto"/>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r w:rsidRPr="00A72B64">
              <w:rPr>
                <w:rFonts w:ascii="Calibri" w:eastAsia="Times New Roman" w:hAnsi="Calibri" w:cs="Times New Roman"/>
                <w:color w:val="000000"/>
                <w:sz w:val="32"/>
                <w:szCs w:val="32"/>
              </w:rPr>
              <w:t>70%</w:t>
            </w:r>
          </w:p>
        </w:tc>
      </w:tr>
      <w:tr w:rsidR="00A72B64" w:rsidRPr="00A72B64" w:rsidTr="00A72B64">
        <w:trPr>
          <w:trHeight w:val="800"/>
        </w:trPr>
        <w:tc>
          <w:tcPr>
            <w:tcW w:w="3356" w:type="dxa"/>
            <w:tcBorders>
              <w:top w:val="nil"/>
              <w:left w:val="single" w:sz="8" w:space="0" w:color="auto"/>
              <w:bottom w:val="single" w:sz="4" w:space="0" w:color="auto"/>
              <w:right w:val="single" w:sz="8" w:space="0" w:color="auto"/>
            </w:tcBorders>
            <w:shd w:val="clear" w:color="auto" w:fill="auto"/>
            <w:vAlign w:val="center"/>
            <w:hideMark/>
          </w:tcPr>
          <w:p w:rsidR="00A72B64" w:rsidRPr="00A72B64" w:rsidRDefault="00A72B64" w:rsidP="00A72B64">
            <w:pPr>
              <w:spacing w:after="0" w:line="240" w:lineRule="auto"/>
              <w:rPr>
                <w:rFonts w:ascii="Calibri" w:eastAsia="Times New Roman" w:hAnsi="Calibri" w:cs="Times New Roman"/>
                <w:color w:val="000000"/>
                <w:sz w:val="20"/>
                <w:szCs w:val="20"/>
              </w:rPr>
            </w:pPr>
            <w:r w:rsidRPr="00A72B64">
              <w:rPr>
                <w:rFonts w:ascii="Calibri" w:eastAsia="Times New Roman" w:hAnsi="Calibri" w:cs="Times New Roman"/>
                <w:color w:val="000000"/>
                <w:sz w:val="20"/>
                <w:szCs w:val="20"/>
              </w:rPr>
              <w:t xml:space="preserve">2. Students will be familiar with cash management techniques </w:t>
            </w:r>
          </w:p>
        </w:tc>
        <w:tc>
          <w:tcPr>
            <w:tcW w:w="1237" w:type="dxa"/>
            <w:tcBorders>
              <w:top w:val="nil"/>
              <w:left w:val="nil"/>
              <w:bottom w:val="single" w:sz="4" w:space="0" w:color="auto"/>
              <w:right w:val="single" w:sz="4" w:space="0" w:color="auto"/>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r w:rsidRPr="00A72B64">
              <w:rPr>
                <w:rFonts w:ascii="Calibri" w:eastAsia="Times New Roman" w:hAnsi="Calibri" w:cs="Times New Roman"/>
                <w:color w:val="000000"/>
                <w:sz w:val="32"/>
                <w:szCs w:val="32"/>
              </w:rPr>
              <w:t>38</w:t>
            </w:r>
          </w:p>
        </w:tc>
        <w:tc>
          <w:tcPr>
            <w:tcW w:w="1000" w:type="dxa"/>
            <w:tcBorders>
              <w:top w:val="nil"/>
              <w:left w:val="nil"/>
              <w:bottom w:val="single" w:sz="4" w:space="0" w:color="auto"/>
              <w:right w:val="single" w:sz="4" w:space="0" w:color="auto"/>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r w:rsidRPr="00A72B64">
              <w:rPr>
                <w:rFonts w:ascii="Calibri" w:eastAsia="Times New Roman" w:hAnsi="Calibri" w:cs="Times New Roman"/>
                <w:color w:val="000000"/>
                <w:sz w:val="32"/>
                <w:szCs w:val="32"/>
              </w:rPr>
              <w:t>2</w:t>
            </w:r>
          </w:p>
        </w:tc>
        <w:tc>
          <w:tcPr>
            <w:tcW w:w="1000" w:type="dxa"/>
            <w:tcBorders>
              <w:top w:val="nil"/>
              <w:left w:val="nil"/>
              <w:bottom w:val="single" w:sz="4" w:space="0" w:color="auto"/>
              <w:right w:val="single" w:sz="8" w:space="0" w:color="auto"/>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r w:rsidRPr="00A72B64">
              <w:rPr>
                <w:rFonts w:ascii="Calibri" w:eastAsia="Times New Roman" w:hAnsi="Calibri" w:cs="Times New Roman"/>
                <w:color w:val="000000"/>
                <w:sz w:val="32"/>
                <w:szCs w:val="32"/>
              </w:rPr>
              <w:t>1</w:t>
            </w: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tcBorders>
              <w:top w:val="nil"/>
              <w:left w:val="single" w:sz="8" w:space="0" w:color="auto"/>
              <w:bottom w:val="single" w:sz="4" w:space="0" w:color="auto"/>
              <w:right w:val="single" w:sz="8" w:space="0" w:color="auto"/>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r w:rsidRPr="00A72B64">
              <w:rPr>
                <w:rFonts w:ascii="Calibri" w:eastAsia="Times New Roman" w:hAnsi="Calibri" w:cs="Times New Roman"/>
                <w:color w:val="000000"/>
                <w:sz w:val="32"/>
                <w:szCs w:val="32"/>
              </w:rPr>
              <w:t>98%</w:t>
            </w:r>
          </w:p>
        </w:tc>
      </w:tr>
      <w:tr w:rsidR="00A72B64" w:rsidRPr="00A72B64" w:rsidTr="00A72B64">
        <w:trPr>
          <w:trHeight w:val="800"/>
        </w:trPr>
        <w:tc>
          <w:tcPr>
            <w:tcW w:w="3356" w:type="dxa"/>
            <w:tcBorders>
              <w:top w:val="nil"/>
              <w:left w:val="single" w:sz="8" w:space="0" w:color="auto"/>
              <w:bottom w:val="nil"/>
              <w:right w:val="single" w:sz="8" w:space="0" w:color="auto"/>
            </w:tcBorders>
            <w:shd w:val="clear" w:color="auto" w:fill="auto"/>
            <w:vAlign w:val="center"/>
            <w:hideMark/>
          </w:tcPr>
          <w:p w:rsidR="00A72B64" w:rsidRPr="00A72B64" w:rsidRDefault="00A72B64" w:rsidP="00A72B64">
            <w:pPr>
              <w:spacing w:after="0" w:line="240" w:lineRule="auto"/>
              <w:rPr>
                <w:rFonts w:ascii="Calibri" w:eastAsia="Times New Roman" w:hAnsi="Calibri" w:cs="Times New Roman"/>
                <w:color w:val="000000"/>
                <w:sz w:val="20"/>
                <w:szCs w:val="20"/>
              </w:rPr>
            </w:pPr>
            <w:r w:rsidRPr="00A72B64">
              <w:rPr>
                <w:rFonts w:ascii="Calibri" w:eastAsia="Times New Roman" w:hAnsi="Calibri" w:cs="Times New Roman"/>
                <w:color w:val="000000"/>
                <w:sz w:val="20"/>
                <w:szCs w:val="20"/>
              </w:rPr>
              <w:t>3. Ability to distinguish between pre- and post-money firms’ valuation</w:t>
            </w:r>
          </w:p>
        </w:tc>
        <w:tc>
          <w:tcPr>
            <w:tcW w:w="1237" w:type="dxa"/>
            <w:tcBorders>
              <w:top w:val="nil"/>
              <w:left w:val="nil"/>
              <w:bottom w:val="nil"/>
              <w:right w:val="single" w:sz="4" w:space="0" w:color="auto"/>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r w:rsidRPr="00A72B64">
              <w:rPr>
                <w:rFonts w:ascii="Calibri" w:eastAsia="Times New Roman" w:hAnsi="Calibri" w:cs="Times New Roman"/>
                <w:color w:val="000000"/>
                <w:sz w:val="32"/>
                <w:szCs w:val="32"/>
              </w:rPr>
              <w:t>34</w:t>
            </w:r>
          </w:p>
        </w:tc>
        <w:tc>
          <w:tcPr>
            <w:tcW w:w="1000" w:type="dxa"/>
            <w:tcBorders>
              <w:top w:val="nil"/>
              <w:left w:val="nil"/>
              <w:bottom w:val="nil"/>
              <w:right w:val="single" w:sz="4" w:space="0" w:color="auto"/>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r w:rsidRPr="00A72B64">
              <w:rPr>
                <w:rFonts w:ascii="Calibri" w:eastAsia="Times New Roman" w:hAnsi="Calibri" w:cs="Times New Roman"/>
                <w:color w:val="000000"/>
                <w:sz w:val="32"/>
                <w:szCs w:val="32"/>
              </w:rPr>
              <w:t>3</w:t>
            </w:r>
          </w:p>
        </w:tc>
        <w:tc>
          <w:tcPr>
            <w:tcW w:w="1000" w:type="dxa"/>
            <w:tcBorders>
              <w:top w:val="nil"/>
              <w:left w:val="nil"/>
              <w:bottom w:val="nil"/>
              <w:right w:val="single" w:sz="8" w:space="0" w:color="auto"/>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r w:rsidRPr="00A72B64">
              <w:rPr>
                <w:rFonts w:ascii="Calibri" w:eastAsia="Times New Roman" w:hAnsi="Calibri" w:cs="Times New Roman"/>
                <w:color w:val="000000"/>
                <w:sz w:val="32"/>
                <w:szCs w:val="32"/>
              </w:rPr>
              <w:t>3</w:t>
            </w: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tcBorders>
              <w:top w:val="nil"/>
              <w:left w:val="single" w:sz="8" w:space="0" w:color="auto"/>
              <w:bottom w:val="single" w:sz="4" w:space="0" w:color="auto"/>
              <w:right w:val="single" w:sz="8" w:space="0" w:color="auto"/>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r w:rsidRPr="00A72B64">
              <w:rPr>
                <w:rFonts w:ascii="Calibri" w:eastAsia="Times New Roman" w:hAnsi="Calibri" w:cs="Times New Roman"/>
                <w:color w:val="000000"/>
                <w:sz w:val="32"/>
                <w:szCs w:val="32"/>
              </w:rPr>
              <w:t>93%</w:t>
            </w:r>
          </w:p>
        </w:tc>
      </w:tr>
      <w:tr w:rsidR="00A72B64" w:rsidRPr="00A72B64" w:rsidTr="00A72B64">
        <w:trPr>
          <w:trHeight w:val="800"/>
        </w:trPr>
        <w:tc>
          <w:tcPr>
            <w:tcW w:w="335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72B64" w:rsidRPr="00A72B64" w:rsidRDefault="00A72B64" w:rsidP="00A72B64">
            <w:pPr>
              <w:spacing w:after="0" w:line="240" w:lineRule="auto"/>
              <w:rPr>
                <w:rFonts w:ascii="Calibri" w:eastAsia="Times New Roman" w:hAnsi="Calibri" w:cs="Times New Roman"/>
                <w:color w:val="000000"/>
                <w:sz w:val="20"/>
                <w:szCs w:val="20"/>
              </w:rPr>
            </w:pPr>
            <w:r w:rsidRPr="00A72B64">
              <w:rPr>
                <w:rFonts w:ascii="Calibri" w:eastAsia="Times New Roman" w:hAnsi="Calibri" w:cs="Times New Roman"/>
                <w:color w:val="000000"/>
                <w:sz w:val="20"/>
                <w:szCs w:val="20"/>
              </w:rPr>
              <w:t>4. Calculate and use multiples used in firms’ valuation</w:t>
            </w:r>
          </w:p>
        </w:tc>
        <w:tc>
          <w:tcPr>
            <w:tcW w:w="1237" w:type="dxa"/>
            <w:tcBorders>
              <w:top w:val="single" w:sz="4" w:space="0" w:color="auto"/>
              <w:left w:val="nil"/>
              <w:bottom w:val="single" w:sz="8" w:space="0" w:color="auto"/>
              <w:right w:val="single" w:sz="4" w:space="0" w:color="auto"/>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r w:rsidRPr="00A72B64">
              <w:rPr>
                <w:rFonts w:ascii="Calibri" w:eastAsia="Times New Roman" w:hAnsi="Calibri" w:cs="Times New Roman"/>
                <w:color w:val="000000"/>
                <w:sz w:val="32"/>
                <w:szCs w:val="32"/>
              </w:rPr>
              <w:t>27</w:t>
            </w:r>
          </w:p>
        </w:tc>
        <w:tc>
          <w:tcPr>
            <w:tcW w:w="1000" w:type="dxa"/>
            <w:tcBorders>
              <w:top w:val="single" w:sz="4" w:space="0" w:color="auto"/>
              <w:left w:val="nil"/>
              <w:bottom w:val="single" w:sz="8" w:space="0" w:color="auto"/>
              <w:right w:val="single" w:sz="4" w:space="0" w:color="auto"/>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r w:rsidRPr="00A72B64">
              <w:rPr>
                <w:rFonts w:ascii="Calibri" w:eastAsia="Times New Roman" w:hAnsi="Calibri" w:cs="Times New Roman"/>
                <w:color w:val="000000"/>
                <w:sz w:val="32"/>
                <w:szCs w:val="32"/>
              </w:rPr>
              <w:t>6</w:t>
            </w:r>
          </w:p>
        </w:tc>
        <w:tc>
          <w:tcPr>
            <w:tcW w:w="1000" w:type="dxa"/>
            <w:tcBorders>
              <w:top w:val="single" w:sz="4" w:space="0" w:color="auto"/>
              <w:left w:val="nil"/>
              <w:bottom w:val="single" w:sz="8" w:space="0" w:color="auto"/>
              <w:right w:val="single" w:sz="8" w:space="0" w:color="auto"/>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r w:rsidRPr="00A72B64">
              <w:rPr>
                <w:rFonts w:ascii="Calibri" w:eastAsia="Times New Roman" w:hAnsi="Calibri" w:cs="Times New Roman"/>
                <w:color w:val="000000"/>
                <w:sz w:val="32"/>
                <w:szCs w:val="32"/>
              </w:rPr>
              <w:t>8</w:t>
            </w: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tcBorders>
              <w:top w:val="nil"/>
              <w:left w:val="single" w:sz="8" w:space="0" w:color="auto"/>
              <w:bottom w:val="single" w:sz="8" w:space="0" w:color="auto"/>
              <w:right w:val="single" w:sz="8" w:space="0" w:color="auto"/>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r w:rsidRPr="00A72B64">
              <w:rPr>
                <w:rFonts w:ascii="Calibri" w:eastAsia="Times New Roman" w:hAnsi="Calibri" w:cs="Times New Roman"/>
                <w:color w:val="000000"/>
                <w:sz w:val="32"/>
                <w:szCs w:val="32"/>
              </w:rPr>
              <w:t>80%</w:t>
            </w:r>
          </w:p>
        </w:tc>
      </w:tr>
      <w:tr w:rsidR="00A72B64" w:rsidRPr="00A72B64" w:rsidTr="00A72B64">
        <w:trPr>
          <w:trHeight w:val="300"/>
        </w:trPr>
        <w:tc>
          <w:tcPr>
            <w:tcW w:w="3356"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r w:rsidRPr="00A72B64">
              <w:rPr>
                <w:rFonts w:ascii="Calibri" w:eastAsia="Times New Roman" w:hAnsi="Calibri" w:cs="Times New Roman"/>
                <w:color w:val="000000"/>
              </w:rPr>
              <w:t>Cumulative average: 2.23</w:t>
            </w:r>
          </w:p>
        </w:tc>
        <w:tc>
          <w:tcPr>
            <w:tcW w:w="1237"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r>
      <w:tr w:rsidR="00A72B64" w:rsidRPr="00A72B64" w:rsidTr="00A72B64">
        <w:trPr>
          <w:trHeight w:val="300"/>
        </w:trPr>
        <w:tc>
          <w:tcPr>
            <w:tcW w:w="3356"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8240" behindDoc="0" locked="0" layoutInCell="1" allowOverlap="1" wp14:anchorId="56083419" wp14:editId="13C37AD3">
                  <wp:simplePos x="0" y="0"/>
                  <wp:positionH relativeFrom="column">
                    <wp:posOffset>0</wp:posOffset>
                  </wp:positionH>
                  <wp:positionV relativeFrom="paragraph">
                    <wp:posOffset>180975</wp:posOffset>
                  </wp:positionV>
                  <wp:extent cx="4876800" cy="2943225"/>
                  <wp:effectExtent l="0" t="0" r="19050" b="9525"/>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140"/>
            </w:tblGrid>
            <w:tr w:rsidR="00A72B64" w:rsidRPr="00A72B64">
              <w:trPr>
                <w:trHeight w:val="300"/>
                <w:tblCellSpacing w:w="0" w:type="dxa"/>
              </w:trPr>
              <w:tc>
                <w:tcPr>
                  <w:tcW w:w="314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r>
          </w:tbl>
          <w:p w:rsidR="00A72B64" w:rsidRPr="00A72B64" w:rsidRDefault="00A72B64" w:rsidP="00A72B64">
            <w:pPr>
              <w:spacing w:after="0" w:line="240" w:lineRule="auto"/>
              <w:rPr>
                <w:rFonts w:ascii="Calibri" w:eastAsia="Times New Roman" w:hAnsi="Calibri" w:cs="Times New Roman"/>
                <w:color w:val="000000"/>
              </w:rPr>
            </w:pPr>
          </w:p>
        </w:tc>
        <w:tc>
          <w:tcPr>
            <w:tcW w:w="1237"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r>
      <w:tr w:rsidR="00A72B64" w:rsidRPr="00A72B64" w:rsidTr="00A72B64">
        <w:trPr>
          <w:trHeight w:val="420"/>
        </w:trPr>
        <w:tc>
          <w:tcPr>
            <w:tcW w:w="3356" w:type="dxa"/>
            <w:tcBorders>
              <w:top w:val="nil"/>
              <w:left w:val="nil"/>
              <w:bottom w:val="nil"/>
              <w:right w:val="nil"/>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p>
        </w:tc>
        <w:tc>
          <w:tcPr>
            <w:tcW w:w="1237" w:type="dxa"/>
            <w:tcBorders>
              <w:top w:val="nil"/>
              <w:left w:val="nil"/>
              <w:bottom w:val="nil"/>
              <w:right w:val="nil"/>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p>
        </w:tc>
        <w:tc>
          <w:tcPr>
            <w:tcW w:w="1000" w:type="dxa"/>
            <w:tcBorders>
              <w:top w:val="nil"/>
              <w:left w:val="nil"/>
              <w:bottom w:val="nil"/>
              <w:right w:val="nil"/>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p>
        </w:tc>
        <w:tc>
          <w:tcPr>
            <w:tcW w:w="1000" w:type="dxa"/>
            <w:tcBorders>
              <w:top w:val="nil"/>
              <w:left w:val="nil"/>
              <w:bottom w:val="nil"/>
              <w:right w:val="nil"/>
            </w:tcBorders>
            <w:shd w:val="clear" w:color="auto" w:fill="auto"/>
            <w:vAlign w:val="center"/>
            <w:hideMark/>
          </w:tcPr>
          <w:p w:rsidR="00A72B64" w:rsidRPr="00A72B64" w:rsidRDefault="00A72B64" w:rsidP="00A72B64">
            <w:pPr>
              <w:spacing w:after="0" w:line="240" w:lineRule="auto"/>
              <w:jc w:val="center"/>
              <w:rPr>
                <w:rFonts w:ascii="Calibri" w:eastAsia="Times New Roman" w:hAnsi="Calibri" w:cs="Times New Roman"/>
                <w:color w:val="000000"/>
                <w:sz w:val="32"/>
                <w:szCs w:val="32"/>
              </w:rPr>
            </w:pP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r>
      <w:tr w:rsidR="00A72B64" w:rsidRPr="00A72B64" w:rsidTr="00A72B64">
        <w:trPr>
          <w:trHeight w:val="300"/>
        </w:trPr>
        <w:tc>
          <w:tcPr>
            <w:tcW w:w="3356"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237"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r>
      <w:tr w:rsidR="00A72B64" w:rsidRPr="00A72B64" w:rsidTr="00A72B64">
        <w:trPr>
          <w:trHeight w:val="300"/>
        </w:trPr>
        <w:tc>
          <w:tcPr>
            <w:tcW w:w="3356"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237"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r>
      <w:tr w:rsidR="00A72B64" w:rsidRPr="00A72B64" w:rsidTr="00A72B64">
        <w:trPr>
          <w:trHeight w:val="300"/>
        </w:trPr>
        <w:tc>
          <w:tcPr>
            <w:tcW w:w="3356"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237"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r>
      <w:tr w:rsidR="00A72B64" w:rsidRPr="00A72B64" w:rsidTr="00A72B64">
        <w:trPr>
          <w:trHeight w:val="300"/>
        </w:trPr>
        <w:tc>
          <w:tcPr>
            <w:tcW w:w="3356"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237"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r>
      <w:tr w:rsidR="00A72B64" w:rsidRPr="00A72B64" w:rsidTr="00A72B64">
        <w:trPr>
          <w:trHeight w:val="300"/>
        </w:trPr>
        <w:tc>
          <w:tcPr>
            <w:tcW w:w="3356"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237"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r>
      <w:tr w:rsidR="00A72B64" w:rsidRPr="00A72B64" w:rsidTr="00A72B64">
        <w:trPr>
          <w:trHeight w:val="300"/>
        </w:trPr>
        <w:tc>
          <w:tcPr>
            <w:tcW w:w="3356"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237"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r>
      <w:tr w:rsidR="00A72B64" w:rsidRPr="00A72B64" w:rsidTr="00A72B64">
        <w:trPr>
          <w:trHeight w:val="300"/>
        </w:trPr>
        <w:tc>
          <w:tcPr>
            <w:tcW w:w="3356"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237"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r>
      <w:tr w:rsidR="00A72B64" w:rsidRPr="00A72B64" w:rsidTr="00A72B64">
        <w:trPr>
          <w:trHeight w:val="300"/>
        </w:trPr>
        <w:tc>
          <w:tcPr>
            <w:tcW w:w="3356"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237"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r>
      <w:tr w:rsidR="00A72B64" w:rsidRPr="00A72B64" w:rsidTr="00A72B64">
        <w:trPr>
          <w:trHeight w:val="300"/>
        </w:trPr>
        <w:tc>
          <w:tcPr>
            <w:tcW w:w="3356"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237"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r>
      <w:tr w:rsidR="00A72B64" w:rsidRPr="00A72B64" w:rsidTr="00A72B64">
        <w:trPr>
          <w:trHeight w:val="300"/>
        </w:trPr>
        <w:tc>
          <w:tcPr>
            <w:tcW w:w="3356"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237"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r>
      <w:tr w:rsidR="00A72B64" w:rsidRPr="00A72B64" w:rsidTr="00A72B64">
        <w:trPr>
          <w:trHeight w:val="300"/>
        </w:trPr>
        <w:tc>
          <w:tcPr>
            <w:tcW w:w="3356"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237"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r>
      <w:tr w:rsidR="00A72B64" w:rsidRPr="00A72B64" w:rsidTr="00A72B64">
        <w:trPr>
          <w:trHeight w:val="300"/>
        </w:trPr>
        <w:tc>
          <w:tcPr>
            <w:tcW w:w="3356"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237"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A72B64" w:rsidRPr="00A72B64" w:rsidRDefault="00A72B64" w:rsidP="00A72B64">
            <w:pPr>
              <w:spacing w:after="0" w:line="240" w:lineRule="auto"/>
              <w:rPr>
                <w:rFonts w:ascii="Calibri" w:eastAsia="Times New Roman" w:hAnsi="Calibri" w:cs="Times New Roman"/>
                <w:color w:val="000000"/>
              </w:rPr>
            </w:pPr>
          </w:p>
        </w:tc>
      </w:tr>
    </w:tbl>
    <w:p w:rsidR="0020636A" w:rsidRDefault="0020636A" w:rsidP="0020636A">
      <w:pPr>
        <w:rPr>
          <w:b/>
          <w:u w:val="single"/>
        </w:rPr>
      </w:pPr>
    </w:p>
    <w:p w:rsidR="002577FB" w:rsidRDefault="009F64A1" w:rsidP="002577FB">
      <w:pPr>
        <w:rPr>
          <w:rFonts w:cs="Arial"/>
          <w:i/>
          <w:sz w:val="24"/>
        </w:rPr>
      </w:pPr>
      <w:r>
        <w:rPr>
          <w:rFonts w:cs="Arial"/>
          <w:b/>
          <w:sz w:val="28"/>
          <w:szCs w:val="28"/>
        </w:rPr>
        <w:lastRenderedPageBreak/>
        <w:t xml:space="preserve">Suggested </w:t>
      </w:r>
      <w:r w:rsidR="002577FB" w:rsidRPr="004754AC">
        <w:rPr>
          <w:rFonts w:cs="Arial"/>
          <w:b/>
          <w:sz w:val="28"/>
          <w:szCs w:val="28"/>
        </w:rPr>
        <w:t>Action:</w:t>
      </w:r>
    </w:p>
    <w:p w:rsidR="001E563C" w:rsidRDefault="001E563C" w:rsidP="001E563C">
      <w:r w:rsidRPr="00A91376">
        <w:t xml:space="preserve">Students have demonstrated a rather high </w:t>
      </w:r>
      <w:r>
        <w:t>level of performance in their familiarity with the valuation concepts on the descriptive level (qualitative aspects), their ability to calculate EBITDA and multiples for valuation purposes (quantitative aspects) was significantly lower –20-30% of the students scoring below the threshold proficiency levels. The results indicated uneven level of preparation and weaker background in the finance material that may partially stem from the gaps in the MGEM Finance curriculum in addition to the undergraduate educational demographics of the cohort.</w:t>
      </w:r>
    </w:p>
    <w:p w:rsidR="001E563C" w:rsidRPr="00A91376" w:rsidRDefault="001E563C" w:rsidP="001E563C"/>
    <w:p w:rsidR="001E563C" w:rsidRPr="00A91376" w:rsidRDefault="001E563C" w:rsidP="001E563C">
      <w:r w:rsidRPr="00A91376">
        <w:t xml:space="preserve">Finance faculty at IQS (Sylvia </w:t>
      </w:r>
      <w:proofErr w:type="spellStart"/>
      <w:r w:rsidRPr="00A91376">
        <w:t>Bou</w:t>
      </w:r>
      <w:proofErr w:type="spellEnd"/>
      <w:r w:rsidRPr="00A91376">
        <w:t>) and USF (</w:t>
      </w:r>
      <w:r>
        <w:t xml:space="preserve">Yuri </w:t>
      </w:r>
      <w:proofErr w:type="spellStart"/>
      <w:r w:rsidRPr="00A91376">
        <w:t>Fedyk</w:t>
      </w:r>
      <w:proofErr w:type="spellEnd"/>
      <w:r w:rsidRPr="00A91376">
        <w:t xml:space="preserve">) have both indicated the need to strengthen the financial/ accounting foundational knowledge of MGEM students, and especially those </w:t>
      </w:r>
      <w:r>
        <w:t xml:space="preserve">with no business educational background. As a result of the assessments conducted by IQS and further supplemented by USF, IQS faculty have introduced an introductory finance/ accounting course to be taken prior to the Common Ground in Corporate Valuation course (scheduled for the Fall II semester). The non-credit course has been scheduled to take place for all MGEM students starting </w:t>
      </w:r>
      <w:proofErr w:type="gramStart"/>
      <w:r>
        <w:t>Fall</w:t>
      </w:r>
      <w:proofErr w:type="gramEnd"/>
      <w:r>
        <w:t xml:space="preserve"> 2016 with an option to test out for those who have had the necessary business/ finance training and experience. </w:t>
      </w:r>
    </w:p>
    <w:p w:rsidR="002577FB" w:rsidRDefault="002577FB" w:rsidP="006F61C7"/>
    <w:p w:rsidR="006F61C7" w:rsidRDefault="006F61C7" w:rsidP="006F61C7"/>
    <w:p w:rsidR="00187335" w:rsidRDefault="002577FB" w:rsidP="00187335">
      <w:pPr>
        <w:widowControl w:val="0"/>
        <w:autoSpaceDE w:val="0"/>
        <w:autoSpaceDN w:val="0"/>
        <w:adjustRightInd w:val="0"/>
        <w:spacing w:after="0" w:line="240" w:lineRule="auto"/>
        <w:rPr>
          <w:rFonts w:cs="Arial"/>
          <w:b/>
          <w:bCs/>
          <w:i/>
          <w:sz w:val="28"/>
        </w:rPr>
      </w:pPr>
      <w:r w:rsidRPr="00187335">
        <w:rPr>
          <w:rFonts w:cs="Arial"/>
          <w:b/>
          <w:bCs/>
          <w:i/>
          <w:sz w:val="28"/>
        </w:rPr>
        <w:t>Phase 3: Closing the Loop</w:t>
      </w:r>
    </w:p>
    <w:p w:rsidR="0078670B" w:rsidRDefault="0078670B" w:rsidP="00187335">
      <w:pPr>
        <w:widowControl w:val="0"/>
        <w:autoSpaceDE w:val="0"/>
        <w:autoSpaceDN w:val="0"/>
        <w:adjustRightInd w:val="0"/>
        <w:spacing w:after="0" w:line="240" w:lineRule="auto"/>
        <w:rPr>
          <w:rFonts w:cs="Arial"/>
          <w:b/>
          <w:bCs/>
          <w:i/>
          <w:sz w:val="28"/>
        </w:rPr>
      </w:pPr>
    </w:p>
    <w:p w:rsidR="00187335" w:rsidRDefault="00187335" w:rsidP="00187335">
      <w:pPr>
        <w:widowControl w:val="0"/>
        <w:autoSpaceDE w:val="0"/>
        <w:autoSpaceDN w:val="0"/>
        <w:adjustRightInd w:val="0"/>
        <w:spacing w:after="0" w:line="240" w:lineRule="auto"/>
        <w:ind w:left="360"/>
        <w:rPr>
          <w:rFonts w:cs="Arial"/>
          <w:sz w:val="24"/>
        </w:rPr>
      </w:pPr>
      <w:r>
        <w:rPr>
          <w:rFonts w:cs="Arial"/>
          <w:sz w:val="24"/>
        </w:rPr>
        <w:t>In the year that the assessment is made, this is good place to describe how the suggested actions might be evaluated in a future assessment cycle. When that cycle is complete, the results can be added to this document to finalize the report.</w:t>
      </w:r>
    </w:p>
    <w:p w:rsidR="002577FB" w:rsidRDefault="002577FB" w:rsidP="00764BA9">
      <w:pPr>
        <w:rPr>
          <w:rFonts w:cs="Arial"/>
          <w:sz w:val="24"/>
        </w:rPr>
      </w:pPr>
    </w:p>
    <w:p w:rsidR="002577FB" w:rsidRDefault="002577FB" w:rsidP="00764BA9">
      <w:pPr>
        <w:rPr>
          <w:rFonts w:cs="Arial"/>
          <w:sz w:val="24"/>
        </w:rPr>
      </w:pPr>
    </w:p>
    <w:p w:rsidR="001E563C" w:rsidRDefault="001E563C" w:rsidP="00764BA9">
      <w:pPr>
        <w:rPr>
          <w:rFonts w:cs="Arial"/>
          <w:sz w:val="24"/>
        </w:rPr>
      </w:pPr>
    </w:p>
    <w:p w:rsidR="001E563C" w:rsidRDefault="001E563C" w:rsidP="00764BA9">
      <w:pPr>
        <w:rPr>
          <w:rFonts w:cs="Arial"/>
          <w:sz w:val="24"/>
        </w:rPr>
      </w:pPr>
    </w:p>
    <w:p w:rsidR="001E563C" w:rsidRDefault="001E563C" w:rsidP="00764BA9">
      <w:pPr>
        <w:rPr>
          <w:rFonts w:cs="Arial"/>
          <w:sz w:val="24"/>
        </w:rPr>
      </w:pPr>
    </w:p>
    <w:p w:rsidR="001E563C" w:rsidRDefault="001E563C" w:rsidP="00764BA9">
      <w:pPr>
        <w:rPr>
          <w:rFonts w:cs="Arial"/>
          <w:sz w:val="24"/>
        </w:rPr>
      </w:pPr>
    </w:p>
    <w:p w:rsidR="001E563C" w:rsidRDefault="001E563C" w:rsidP="00764BA9">
      <w:pPr>
        <w:rPr>
          <w:rFonts w:cs="Arial"/>
          <w:sz w:val="24"/>
        </w:rPr>
      </w:pPr>
    </w:p>
    <w:p w:rsidR="001E563C" w:rsidRDefault="001E563C" w:rsidP="00764BA9">
      <w:pPr>
        <w:rPr>
          <w:rFonts w:cs="Arial"/>
          <w:sz w:val="24"/>
        </w:rPr>
      </w:pPr>
    </w:p>
    <w:p w:rsidR="001E563C" w:rsidRDefault="001E563C" w:rsidP="00764BA9">
      <w:pPr>
        <w:rPr>
          <w:rFonts w:cs="Arial"/>
          <w:sz w:val="24"/>
        </w:rPr>
      </w:pPr>
    </w:p>
    <w:p w:rsidR="001E563C" w:rsidRDefault="001E563C" w:rsidP="00764BA9">
      <w:pPr>
        <w:rPr>
          <w:rFonts w:cs="Arial"/>
          <w:sz w:val="24"/>
        </w:rPr>
      </w:pPr>
    </w:p>
    <w:p w:rsidR="001E563C" w:rsidRDefault="001E563C" w:rsidP="00764BA9">
      <w:pPr>
        <w:rPr>
          <w:rFonts w:cs="Arial"/>
          <w:sz w:val="24"/>
        </w:rPr>
      </w:pPr>
    </w:p>
    <w:p w:rsidR="001E563C" w:rsidRPr="00A91376" w:rsidRDefault="001E563C" w:rsidP="001E563C">
      <w:pPr>
        <w:rPr>
          <w:b/>
        </w:rPr>
      </w:pPr>
      <w:bookmarkStart w:id="0" w:name="_GoBack"/>
      <w:bookmarkEnd w:id="0"/>
      <w:r w:rsidRPr="00A91376">
        <w:rPr>
          <w:b/>
        </w:rPr>
        <w:lastRenderedPageBreak/>
        <w:t>Questions used in Assessment:</w:t>
      </w:r>
    </w:p>
    <w:p w:rsidR="001E563C" w:rsidRPr="00A91376" w:rsidRDefault="001E563C" w:rsidP="001E563C">
      <w:pPr>
        <w:rPr>
          <w:u w:val="single"/>
        </w:rPr>
      </w:pPr>
      <w:r w:rsidRPr="00A91376">
        <w:rPr>
          <w:u w:val="single"/>
        </w:rPr>
        <w:t>Rubrics 1: Students will be able to calculate EBITDA used in companies valuations decisions</w:t>
      </w:r>
    </w:p>
    <w:p w:rsidR="001E563C" w:rsidRPr="00A91376" w:rsidRDefault="001E563C" w:rsidP="001E563C"/>
    <w:p w:rsidR="001E563C" w:rsidRPr="00A91376" w:rsidRDefault="001E563C" w:rsidP="001E563C">
      <w:pPr>
        <w:numPr>
          <w:ilvl w:val="0"/>
          <w:numId w:val="8"/>
        </w:numPr>
        <w:spacing w:after="0" w:line="240" w:lineRule="auto"/>
      </w:pPr>
      <w:r w:rsidRPr="00A91376">
        <w:t xml:space="preserve">Calculate EBITDA given a company has net income of $5,300,000; COGS of $3,900,000; administrative expenses of $400,000; depreciation &amp; amortization total of $600,000; interest expense $500,000; income tax expense $300,000. </w:t>
      </w:r>
    </w:p>
    <w:p w:rsidR="001E563C" w:rsidRPr="00A91376" w:rsidRDefault="001E563C" w:rsidP="001E563C">
      <w:pPr>
        <w:ind w:left="360"/>
      </w:pPr>
    </w:p>
    <w:p w:rsidR="001E563C" w:rsidRPr="00A91376" w:rsidRDefault="001E563C" w:rsidP="001E563C">
      <w:pPr>
        <w:numPr>
          <w:ilvl w:val="0"/>
          <w:numId w:val="8"/>
        </w:numPr>
        <w:spacing w:after="0" w:line="240" w:lineRule="auto"/>
      </w:pPr>
      <w:r w:rsidRPr="00A91376">
        <w:t xml:space="preserve">Company </w:t>
      </w:r>
      <w:proofErr w:type="spellStart"/>
      <w:r w:rsidRPr="00A91376">
        <w:t>Homwell</w:t>
      </w:r>
      <w:proofErr w:type="spellEnd"/>
      <w:r w:rsidRPr="00A91376">
        <w:t xml:space="preserve"> &amp; Co. manufactures widgets. Total sales are $560,000. The cost of manufacturing the widgets for the company is $320,000. Operating expenses are as follows: wages $10,000; rent $5,000; sales expenses 4,000; depreciation $6,000 and amortization 7,000. Accounts payable are $20,000; accounts receivable are $50,000. Find EBITDA.</w:t>
      </w:r>
    </w:p>
    <w:p w:rsidR="001E563C" w:rsidRPr="00A91376" w:rsidRDefault="001E563C" w:rsidP="001E563C"/>
    <w:p w:rsidR="001E563C" w:rsidRPr="00A91376" w:rsidRDefault="001E563C" w:rsidP="001E563C">
      <w:pPr>
        <w:rPr>
          <w:u w:val="single"/>
        </w:rPr>
      </w:pPr>
      <w:r w:rsidRPr="00A91376">
        <w:rPr>
          <w:u w:val="single"/>
        </w:rPr>
        <w:t xml:space="preserve">Rubrics 2: Students will be familiar with cash management techniques  </w:t>
      </w:r>
    </w:p>
    <w:p w:rsidR="001E563C" w:rsidRPr="00A91376" w:rsidRDefault="001E563C" w:rsidP="001E563C">
      <w:pPr>
        <w:rPr>
          <w:u w:val="single"/>
        </w:rPr>
      </w:pPr>
    </w:p>
    <w:p w:rsidR="001E563C" w:rsidRPr="00A91376" w:rsidRDefault="001E563C" w:rsidP="001E563C">
      <w:pPr>
        <w:numPr>
          <w:ilvl w:val="0"/>
          <w:numId w:val="8"/>
        </w:numPr>
        <w:spacing w:after="0" w:line="240" w:lineRule="auto"/>
      </w:pPr>
      <w:r w:rsidRPr="00A91376">
        <w:t>A company’s sales are $1,000,000; COGS are $800,000 and accounts payable are $50,000. Calculate accounts payable average daily costs and number of days it takes to pay.</w:t>
      </w:r>
    </w:p>
    <w:p w:rsidR="001E563C" w:rsidRPr="00A91376" w:rsidRDefault="001E563C" w:rsidP="001E563C"/>
    <w:p w:rsidR="001E563C" w:rsidRPr="00A91376" w:rsidRDefault="001E563C" w:rsidP="001E563C">
      <w:pPr>
        <w:numPr>
          <w:ilvl w:val="0"/>
          <w:numId w:val="8"/>
        </w:numPr>
        <w:spacing w:after="0" w:line="240" w:lineRule="auto"/>
      </w:pPr>
      <w:r w:rsidRPr="00A91376">
        <w:t>A company has inventory days of 65, days payable of 26 and days receivable of 78. Calculate its cash gap.</w:t>
      </w:r>
    </w:p>
    <w:p w:rsidR="001E563C" w:rsidRPr="00A91376" w:rsidRDefault="001E563C" w:rsidP="001E563C"/>
    <w:p w:rsidR="001E563C" w:rsidRPr="00A91376" w:rsidRDefault="001E563C" w:rsidP="001E563C">
      <w:pPr>
        <w:rPr>
          <w:u w:val="single"/>
        </w:rPr>
      </w:pPr>
      <w:r w:rsidRPr="00A91376">
        <w:rPr>
          <w:u w:val="single"/>
        </w:rPr>
        <w:t>Rubrics 3: Ability to distinguish between pre- and post-money firms’ valuation</w:t>
      </w:r>
    </w:p>
    <w:p w:rsidR="001E563C" w:rsidRPr="00A91376" w:rsidRDefault="001E563C" w:rsidP="001E563C">
      <w:pPr>
        <w:rPr>
          <w:u w:val="single"/>
        </w:rPr>
      </w:pPr>
    </w:p>
    <w:p w:rsidR="001E563C" w:rsidRPr="00A91376" w:rsidRDefault="001E563C" w:rsidP="001E563C">
      <w:pPr>
        <w:numPr>
          <w:ilvl w:val="0"/>
          <w:numId w:val="8"/>
        </w:numPr>
        <w:spacing w:after="0" w:line="240" w:lineRule="auto"/>
      </w:pPr>
      <w:r w:rsidRPr="00A91376">
        <w:t xml:space="preserve">Company A provides a $10 million investment to a company with post-money valuation of $60 million. This implies that Company A has a pre-money valuation of _________ and investor’s share in the company is____________. </w:t>
      </w:r>
    </w:p>
    <w:p w:rsidR="001E563C" w:rsidRPr="00A91376" w:rsidRDefault="001E563C" w:rsidP="001E563C"/>
    <w:p w:rsidR="001E563C" w:rsidRPr="00A91376" w:rsidRDefault="001E563C" w:rsidP="001E563C">
      <w:pPr>
        <w:numPr>
          <w:ilvl w:val="0"/>
          <w:numId w:val="8"/>
        </w:numPr>
        <w:spacing w:after="0" w:line="240" w:lineRule="auto"/>
      </w:pPr>
      <w:r w:rsidRPr="00A91376">
        <w:t>A seed investor adds $15mm into an existing pool of $60mm. What is this seed investor’s % share of the post-money in the pool? What is the post money company value after that seed investment?   Investor B then adds a $20mm investment, using post-money of the previous seed round as pre-money value of the second round. What is investor B’s % share of the total post-money pool?</w:t>
      </w:r>
    </w:p>
    <w:p w:rsidR="001E563C" w:rsidRPr="00A91376" w:rsidRDefault="001E563C" w:rsidP="001E563C"/>
    <w:p w:rsidR="001E563C" w:rsidRPr="00A91376" w:rsidRDefault="001E563C" w:rsidP="001E563C">
      <w:pPr>
        <w:rPr>
          <w:u w:val="single"/>
        </w:rPr>
      </w:pPr>
      <w:r w:rsidRPr="00A91376">
        <w:rPr>
          <w:u w:val="single"/>
        </w:rPr>
        <w:t>Rubrics 4: Calculate and use multiples used in firms’ valuation</w:t>
      </w:r>
    </w:p>
    <w:p w:rsidR="001E563C" w:rsidRPr="00A91376" w:rsidRDefault="001E563C" w:rsidP="001E563C">
      <w:pPr>
        <w:rPr>
          <w:u w:val="single"/>
        </w:rPr>
      </w:pPr>
    </w:p>
    <w:p w:rsidR="001E563C" w:rsidRPr="00A91376" w:rsidRDefault="001E563C" w:rsidP="001E563C">
      <w:pPr>
        <w:numPr>
          <w:ilvl w:val="0"/>
          <w:numId w:val="8"/>
        </w:numPr>
        <w:spacing w:after="0" w:line="240" w:lineRule="auto"/>
      </w:pPr>
      <w:r w:rsidRPr="00A91376">
        <w:t xml:space="preserve">Company A has EBITDA of $500,000 and Sales of $1,500,000; Company B has EBITDA of $700,000 and Sales of $3,000,000. Both are industrials companies with average EV/EBITDA multiples of 7x and EV/Sales multiples of 2x. Calculate the enterprise values of Company A and </w:t>
      </w:r>
      <w:r w:rsidRPr="00A91376">
        <w:lastRenderedPageBreak/>
        <w:t xml:space="preserve">Company B first using EV/EBITDA valuation multiples and next using EV/Sales valuation multiples. </w:t>
      </w:r>
    </w:p>
    <w:p w:rsidR="001E563C" w:rsidRPr="00A91376" w:rsidRDefault="001E563C" w:rsidP="001E563C">
      <w:pPr>
        <w:ind w:left="360"/>
      </w:pPr>
    </w:p>
    <w:p w:rsidR="001E563C" w:rsidRPr="00A91376" w:rsidRDefault="001E563C" w:rsidP="001E563C">
      <w:pPr>
        <w:numPr>
          <w:ilvl w:val="0"/>
          <w:numId w:val="8"/>
        </w:numPr>
        <w:spacing w:after="0" w:line="240" w:lineRule="auto"/>
      </w:pPr>
      <w:r w:rsidRPr="00A91376">
        <w:t>For which company stages EV/sales is more appropriate than EV/EBIDTA valuation method? Why?</w:t>
      </w:r>
    </w:p>
    <w:p w:rsidR="001E563C" w:rsidRDefault="001E563C" w:rsidP="00764BA9">
      <w:pPr>
        <w:rPr>
          <w:rFonts w:cs="Arial"/>
          <w:sz w:val="24"/>
        </w:rPr>
      </w:pPr>
    </w:p>
    <w:p w:rsidR="001E563C" w:rsidRDefault="001E563C"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pStyle w:val="PlainText"/>
        <w:rPr>
          <w:rFonts w:asciiTheme="minorHAnsi" w:hAnsiTheme="minorHAnsi" w:cs="Arial"/>
          <w:sz w:val="24"/>
          <w:szCs w:val="24"/>
        </w:rPr>
      </w:pPr>
    </w:p>
    <w:p w:rsidR="0095494F" w:rsidRDefault="0095494F" w:rsidP="00764BA9">
      <w:pPr>
        <w:pStyle w:val="NoSpacing"/>
        <w:ind w:left="2160" w:firstLine="720"/>
      </w:pPr>
    </w:p>
    <w:p w:rsidR="0095494F" w:rsidRDefault="0095494F" w:rsidP="00764BA9">
      <w:pPr>
        <w:pStyle w:val="NoSpacing"/>
        <w:ind w:left="2160" w:firstLine="720"/>
      </w:pPr>
    </w:p>
    <w:p w:rsidR="004576C9" w:rsidRPr="00E457D8" w:rsidRDefault="004576C9" w:rsidP="00A75C8F"/>
    <w:sectPr w:rsidR="004576C9" w:rsidRPr="00E457D8" w:rsidSect="00E457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7A" w:rsidRDefault="003F6C7A" w:rsidP="00455E53">
      <w:pPr>
        <w:spacing w:after="0" w:line="240" w:lineRule="auto"/>
      </w:pPr>
      <w:r>
        <w:separator/>
      </w:r>
    </w:p>
  </w:endnote>
  <w:endnote w:type="continuationSeparator" w:id="0">
    <w:p w:rsidR="003F6C7A" w:rsidRDefault="003F6C7A"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rsidR="00455E53" w:rsidRDefault="00F933E8" w:rsidP="00455E53">
        <w:pPr>
          <w:pStyle w:val="Footer"/>
          <w:tabs>
            <w:tab w:val="clear" w:pos="4680"/>
            <w:tab w:val="left" w:pos="90"/>
          </w:tabs>
        </w:pPr>
        <w:r>
          <w:fldChar w:fldCharType="begin"/>
        </w:r>
        <w:r>
          <w:instrText xml:space="preserve"> FILENAME   \* MERGEFORMAT </w:instrText>
        </w:r>
        <w:r>
          <w:fldChar w:fldCharType="separate"/>
        </w:r>
        <w:r w:rsidR="00C570BC">
          <w:rPr>
            <w:noProof/>
          </w:rPr>
          <w:t>MGEM AoL Report AY15-16 LO 5 MGEM 5112 20160922.docx</w:t>
        </w:r>
        <w:r>
          <w:rPr>
            <w:noProof/>
          </w:rPr>
          <w:fldChar w:fldCharType="end"/>
        </w:r>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Pr>
            <w:b/>
            <w:bCs/>
            <w:noProof/>
            <w:sz w:val="20"/>
            <w:szCs w:val="20"/>
          </w:rPr>
          <w:t>2</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Pr>
            <w:b/>
            <w:bCs/>
            <w:noProof/>
          </w:rPr>
          <w:t>5</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7A" w:rsidRDefault="003F6C7A" w:rsidP="00455E53">
      <w:pPr>
        <w:spacing w:after="0" w:line="240" w:lineRule="auto"/>
      </w:pPr>
      <w:r>
        <w:separator/>
      </w:r>
    </w:p>
  </w:footnote>
  <w:footnote w:type="continuationSeparator" w:id="0">
    <w:p w:rsidR="003F6C7A" w:rsidRDefault="003F6C7A" w:rsidP="0045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C61"/>
    <w:multiLevelType w:val="multilevel"/>
    <w:tmpl w:val="4D6CC0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34E73078"/>
    <w:multiLevelType w:val="hybridMultilevel"/>
    <w:tmpl w:val="20B04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B0344"/>
    <w:multiLevelType w:val="hybridMultilevel"/>
    <w:tmpl w:val="CAB88C9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FF68C2"/>
    <w:multiLevelType w:val="hybridMultilevel"/>
    <w:tmpl w:val="2CC28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4568A"/>
    <w:rsid w:val="000A05BC"/>
    <w:rsid w:val="000B3D43"/>
    <w:rsid w:val="000D30F9"/>
    <w:rsid w:val="000E01D7"/>
    <w:rsid w:val="001123D2"/>
    <w:rsid w:val="001312FF"/>
    <w:rsid w:val="001406EC"/>
    <w:rsid w:val="00160362"/>
    <w:rsid w:val="00187335"/>
    <w:rsid w:val="00195A69"/>
    <w:rsid w:val="001E563C"/>
    <w:rsid w:val="0020636A"/>
    <w:rsid w:val="00242E76"/>
    <w:rsid w:val="002577FB"/>
    <w:rsid w:val="00273E4A"/>
    <w:rsid w:val="00285A34"/>
    <w:rsid w:val="00293BC9"/>
    <w:rsid w:val="002C17C7"/>
    <w:rsid w:val="00333F59"/>
    <w:rsid w:val="003408BC"/>
    <w:rsid w:val="003A3931"/>
    <w:rsid w:val="003B7CCF"/>
    <w:rsid w:val="003D35D1"/>
    <w:rsid w:val="003E2716"/>
    <w:rsid w:val="003F2E0D"/>
    <w:rsid w:val="003F6C7A"/>
    <w:rsid w:val="004214B1"/>
    <w:rsid w:val="004447A2"/>
    <w:rsid w:val="00455E53"/>
    <w:rsid w:val="004576C9"/>
    <w:rsid w:val="004754AC"/>
    <w:rsid w:val="00497280"/>
    <w:rsid w:val="004B1AE7"/>
    <w:rsid w:val="00501C41"/>
    <w:rsid w:val="005034E3"/>
    <w:rsid w:val="00580984"/>
    <w:rsid w:val="005824B0"/>
    <w:rsid w:val="005A3A69"/>
    <w:rsid w:val="005C6D3B"/>
    <w:rsid w:val="005E6899"/>
    <w:rsid w:val="00612359"/>
    <w:rsid w:val="006241AE"/>
    <w:rsid w:val="006925E5"/>
    <w:rsid w:val="006A3BF3"/>
    <w:rsid w:val="006E36AE"/>
    <w:rsid w:val="006F61C7"/>
    <w:rsid w:val="007048BA"/>
    <w:rsid w:val="00714359"/>
    <w:rsid w:val="007553C0"/>
    <w:rsid w:val="007553C5"/>
    <w:rsid w:val="00764BA9"/>
    <w:rsid w:val="0078304F"/>
    <w:rsid w:val="0078670B"/>
    <w:rsid w:val="007E522C"/>
    <w:rsid w:val="007F2187"/>
    <w:rsid w:val="00837F39"/>
    <w:rsid w:val="00883A01"/>
    <w:rsid w:val="008A2693"/>
    <w:rsid w:val="008A4B71"/>
    <w:rsid w:val="008E15B3"/>
    <w:rsid w:val="00920480"/>
    <w:rsid w:val="00936A16"/>
    <w:rsid w:val="0095494F"/>
    <w:rsid w:val="009708B3"/>
    <w:rsid w:val="009B4D3F"/>
    <w:rsid w:val="009E5387"/>
    <w:rsid w:val="009F64A1"/>
    <w:rsid w:val="00A30027"/>
    <w:rsid w:val="00A72B64"/>
    <w:rsid w:val="00A75C8F"/>
    <w:rsid w:val="00A973CE"/>
    <w:rsid w:val="00AC334D"/>
    <w:rsid w:val="00AD2342"/>
    <w:rsid w:val="00B26775"/>
    <w:rsid w:val="00B8696C"/>
    <w:rsid w:val="00B92CBF"/>
    <w:rsid w:val="00BA25C2"/>
    <w:rsid w:val="00BA469A"/>
    <w:rsid w:val="00BE48EB"/>
    <w:rsid w:val="00BE7125"/>
    <w:rsid w:val="00BE764C"/>
    <w:rsid w:val="00C005E1"/>
    <w:rsid w:val="00C01F0E"/>
    <w:rsid w:val="00C570BC"/>
    <w:rsid w:val="00C615D5"/>
    <w:rsid w:val="00C918CA"/>
    <w:rsid w:val="00CA47AA"/>
    <w:rsid w:val="00CF46B4"/>
    <w:rsid w:val="00D14217"/>
    <w:rsid w:val="00D16B58"/>
    <w:rsid w:val="00D4089B"/>
    <w:rsid w:val="00D76431"/>
    <w:rsid w:val="00DA7EF5"/>
    <w:rsid w:val="00E22367"/>
    <w:rsid w:val="00E457D8"/>
    <w:rsid w:val="00E80E51"/>
    <w:rsid w:val="00EB5F70"/>
    <w:rsid w:val="00ED7CAD"/>
    <w:rsid w:val="00F60843"/>
    <w:rsid w:val="00F74C56"/>
    <w:rsid w:val="00F9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582374215">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MGEM\MGEM%20Gleb%20Sept%2015%20Report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MGEM LO 5,</a:t>
            </a:r>
            <a:r>
              <a:rPr lang="en-US" baseline="0"/>
              <a:t> Final Exam</a:t>
            </a:r>
            <a:endParaRPr lang="en-US"/>
          </a:p>
          <a:p>
            <a:pPr>
              <a:defRPr/>
            </a:pPr>
            <a:r>
              <a:rPr lang="en-US"/>
              <a:t>MGEM</a:t>
            </a:r>
            <a:r>
              <a:rPr lang="en-US" baseline="0"/>
              <a:t> 5112, Summer2016</a:t>
            </a:r>
            <a:endParaRPr lang="en-US"/>
          </a:p>
        </c:rich>
      </c:tx>
      <c:layout/>
      <c:overlay val="0"/>
    </c:title>
    <c:autoTitleDeleted val="0"/>
    <c:plotArea>
      <c:layout/>
      <c:barChart>
        <c:barDir val="col"/>
        <c:grouping val="clustered"/>
        <c:varyColors val="0"/>
        <c:ser>
          <c:idx val="0"/>
          <c:order val="0"/>
          <c:tx>
            <c:strRef>
              <c:f>'LO 5 5112'!$I$3</c:f>
              <c:strCache>
                <c:ptCount val="1"/>
                <c:pt idx="0">
                  <c:v>calculate EBITDA used in companies valuations decisions</c:v>
                </c:pt>
              </c:strCache>
            </c:strRef>
          </c:tx>
          <c:invertIfNegative val="0"/>
          <c:cat>
            <c:strRef>
              <c:f>'LO 5 5112'!$B$1:$D$1</c:f>
              <c:strCache>
                <c:ptCount val="3"/>
                <c:pt idx="0">
                  <c:v>Accomplished</c:v>
                </c:pt>
                <c:pt idx="1">
                  <c:v>Proficient</c:v>
                </c:pt>
                <c:pt idx="2">
                  <c:v>Beginning</c:v>
                </c:pt>
              </c:strCache>
            </c:strRef>
          </c:cat>
          <c:val>
            <c:numRef>
              <c:f>'LO 5 5112'!$B$3:$D$3</c:f>
              <c:numCache>
                <c:formatCode>0</c:formatCode>
                <c:ptCount val="3"/>
                <c:pt idx="0">
                  <c:v>27.5</c:v>
                </c:pt>
                <c:pt idx="1">
                  <c:v>0.5</c:v>
                </c:pt>
                <c:pt idx="2" formatCode="General">
                  <c:v>12</c:v>
                </c:pt>
              </c:numCache>
            </c:numRef>
          </c:val>
        </c:ser>
        <c:ser>
          <c:idx val="1"/>
          <c:order val="1"/>
          <c:tx>
            <c:strRef>
              <c:f>'LO 5 5112'!$I$4</c:f>
              <c:strCache>
                <c:ptCount val="1"/>
                <c:pt idx="0">
                  <c:v>familiar with cash management techniques </c:v>
                </c:pt>
              </c:strCache>
            </c:strRef>
          </c:tx>
          <c:invertIfNegative val="0"/>
          <c:cat>
            <c:strRef>
              <c:f>'LO 5 5112'!$B$1:$D$1</c:f>
              <c:strCache>
                <c:ptCount val="3"/>
                <c:pt idx="0">
                  <c:v>Accomplished</c:v>
                </c:pt>
                <c:pt idx="1">
                  <c:v>Proficient</c:v>
                </c:pt>
                <c:pt idx="2">
                  <c:v>Beginning</c:v>
                </c:pt>
              </c:strCache>
            </c:strRef>
          </c:cat>
          <c:val>
            <c:numRef>
              <c:f>'LO 5 5112'!$B$4:$D$4</c:f>
              <c:numCache>
                <c:formatCode>0</c:formatCode>
                <c:ptCount val="3"/>
                <c:pt idx="0">
                  <c:v>37.5</c:v>
                </c:pt>
                <c:pt idx="1">
                  <c:v>1.5</c:v>
                </c:pt>
                <c:pt idx="2" formatCode="General">
                  <c:v>1</c:v>
                </c:pt>
              </c:numCache>
            </c:numRef>
          </c:val>
        </c:ser>
        <c:ser>
          <c:idx val="3"/>
          <c:order val="2"/>
          <c:tx>
            <c:strRef>
              <c:f>'LO 5 5112'!$I$5</c:f>
              <c:strCache>
                <c:ptCount val="1"/>
                <c:pt idx="0">
                  <c:v>distinguish between pre- and post-money firms’ valuation</c:v>
                </c:pt>
              </c:strCache>
            </c:strRef>
          </c:tx>
          <c:invertIfNegative val="0"/>
          <c:cat>
            <c:strRef>
              <c:f>'LO 5 5112'!$B$1:$D$1</c:f>
              <c:strCache>
                <c:ptCount val="3"/>
                <c:pt idx="0">
                  <c:v>Accomplished</c:v>
                </c:pt>
                <c:pt idx="1">
                  <c:v>Proficient</c:v>
                </c:pt>
                <c:pt idx="2">
                  <c:v>Beginning</c:v>
                </c:pt>
              </c:strCache>
            </c:strRef>
          </c:cat>
          <c:val>
            <c:numRef>
              <c:f>'LO 5 5112'!$B$5:$D$5</c:f>
              <c:numCache>
                <c:formatCode>0</c:formatCode>
                <c:ptCount val="3"/>
                <c:pt idx="0">
                  <c:v>34</c:v>
                </c:pt>
                <c:pt idx="1">
                  <c:v>3</c:v>
                </c:pt>
                <c:pt idx="2" formatCode="General">
                  <c:v>3</c:v>
                </c:pt>
              </c:numCache>
            </c:numRef>
          </c:val>
        </c:ser>
        <c:ser>
          <c:idx val="2"/>
          <c:order val="3"/>
          <c:tx>
            <c:strRef>
              <c:f>'LO 5 5112'!$I$6</c:f>
              <c:strCache>
                <c:ptCount val="1"/>
                <c:pt idx="0">
                  <c:v>calculate and use multiples used in firms’ valuation</c:v>
                </c:pt>
              </c:strCache>
            </c:strRef>
          </c:tx>
          <c:invertIfNegative val="0"/>
          <c:cat>
            <c:strRef>
              <c:f>'LO 5 5112'!$B$1:$D$1</c:f>
              <c:strCache>
                <c:ptCount val="3"/>
                <c:pt idx="0">
                  <c:v>Accomplished</c:v>
                </c:pt>
                <c:pt idx="1">
                  <c:v>Proficient</c:v>
                </c:pt>
                <c:pt idx="2">
                  <c:v>Beginning</c:v>
                </c:pt>
              </c:strCache>
            </c:strRef>
          </c:cat>
          <c:val>
            <c:numRef>
              <c:f>'LO 5 5112'!$B$6:$D$6</c:f>
              <c:numCache>
                <c:formatCode>0</c:formatCode>
                <c:ptCount val="3"/>
                <c:pt idx="0">
                  <c:v>26.5</c:v>
                </c:pt>
                <c:pt idx="1">
                  <c:v>5.5</c:v>
                </c:pt>
                <c:pt idx="2" formatCode="General">
                  <c:v>8</c:v>
                </c:pt>
              </c:numCache>
            </c:numRef>
          </c:val>
        </c:ser>
        <c:dLbls>
          <c:showLegendKey val="0"/>
          <c:showVal val="0"/>
          <c:showCatName val="0"/>
          <c:showSerName val="0"/>
          <c:showPercent val="0"/>
          <c:showBubbleSize val="0"/>
        </c:dLbls>
        <c:gapWidth val="150"/>
        <c:axId val="136764416"/>
        <c:axId val="84370560"/>
      </c:barChart>
      <c:catAx>
        <c:axId val="136764416"/>
        <c:scaling>
          <c:orientation val="minMax"/>
        </c:scaling>
        <c:delete val="0"/>
        <c:axPos val="b"/>
        <c:majorTickMark val="out"/>
        <c:minorTickMark val="none"/>
        <c:tickLblPos val="nextTo"/>
        <c:crossAx val="84370560"/>
        <c:crosses val="autoZero"/>
        <c:auto val="1"/>
        <c:lblAlgn val="ctr"/>
        <c:lblOffset val="100"/>
        <c:noMultiLvlLbl val="0"/>
      </c:catAx>
      <c:valAx>
        <c:axId val="84370560"/>
        <c:scaling>
          <c:orientation val="minMax"/>
          <c:max val="40"/>
        </c:scaling>
        <c:delete val="0"/>
        <c:axPos val="l"/>
        <c:majorGridlines/>
        <c:title>
          <c:tx>
            <c:rich>
              <a:bodyPr rot="-5400000" vert="horz"/>
              <a:lstStyle/>
              <a:p>
                <a:pPr>
                  <a:defRPr/>
                </a:pPr>
                <a:r>
                  <a:rPr lang="en-US"/>
                  <a:t>Number of Students</a:t>
                </a:r>
              </a:p>
            </c:rich>
          </c:tx>
          <c:layout/>
          <c:overlay val="0"/>
        </c:title>
        <c:numFmt formatCode="#,##0" sourceLinked="0"/>
        <c:majorTickMark val="out"/>
        <c:minorTickMark val="none"/>
        <c:tickLblPos val="nextTo"/>
        <c:crossAx val="136764416"/>
        <c:crosses val="autoZero"/>
        <c:crossBetween val="between"/>
      </c:valAx>
    </c:plotArea>
    <c:legend>
      <c:legendPos val="r"/>
      <c:layout>
        <c:manualLayout>
          <c:xMode val="edge"/>
          <c:yMode val="edge"/>
          <c:x val="0.41746952863768744"/>
          <c:y val="0.24437971013405935"/>
          <c:w val="0.56748714629849351"/>
          <c:h val="0.1754862531947286"/>
        </c:manualLayout>
      </c:layout>
      <c:overlay val="1"/>
      <c:spPr>
        <a:solidFill>
          <a:schemeClr val="bg1"/>
        </a:solidFill>
        <a:ln>
          <a:solidFill>
            <a:schemeClr val="tx1"/>
          </a:solidFill>
        </a:ln>
      </c:spPr>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1CBD-C0E8-4744-ADE2-6BE8EE99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Freeman, Eric S</cp:lastModifiedBy>
  <cp:revision>4</cp:revision>
  <cp:lastPrinted>2016-07-05T23:11:00Z</cp:lastPrinted>
  <dcterms:created xsi:type="dcterms:W3CDTF">2016-09-23T00:06:00Z</dcterms:created>
  <dcterms:modified xsi:type="dcterms:W3CDTF">2016-10-03T20:48:00Z</dcterms:modified>
</cp:coreProperties>
</file>