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8F3" w:rsidRPr="00EC559D" w:rsidRDefault="002544E2" w:rsidP="00A008F3">
      <w:pPr>
        <w:jc w:val="center"/>
        <w:rPr>
          <w:b/>
          <w:sz w:val="28"/>
          <w:szCs w:val="28"/>
        </w:rPr>
      </w:pPr>
      <w:r w:rsidRPr="00EC559D">
        <w:rPr>
          <w:b/>
          <w:sz w:val="28"/>
          <w:szCs w:val="28"/>
        </w:rPr>
        <w:t>University of San Francisco</w:t>
      </w:r>
    </w:p>
    <w:p w:rsidR="00A008F3" w:rsidRPr="00EC559D" w:rsidRDefault="002544E2" w:rsidP="00A008F3">
      <w:pPr>
        <w:jc w:val="center"/>
        <w:rPr>
          <w:b/>
          <w:sz w:val="28"/>
          <w:szCs w:val="28"/>
        </w:rPr>
      </w:pPr>
      <w:r w:rsidRPr="00EC559D">
        <w:rPr>
          <w:b/>
          <w:sz w:val="28"/>
          <w:szCs w:val="28"/>
        </w:rPr>
        <w:t>School of Management</w:t>
      </w:r>
    </w:p>
    <w:p w:rsidR="00A008F3" w:rsidRPr="00EC559D" w:rsidRDefault="002544E2" w:rsidP="00A008F3">
      <w:pPr>
        <w:jc w:val="center"/>
        <w:rPr>
          <w:b/>
          <w:sz w:val="28"/>
          <w:szCs w:val="28"/>
        </w:rPr>
      </w:pPr>
      <w:r w:rsidRPr="00EC559D">
        <w:rPr>
          <w:b/>
          <w:sz w:val="28"/>
          <w:szCs w:val="28"/>
        </w:rPr>
        <w:t xml:space="preserve">Department of </w:t>
      </w:r>
      <w:r>
        <w:rPr>
          <w:b/>
          <w:i/>
          <w:sz w:val="28"/>
          <w:szCs w:val="28"/>
        </w:rPr>
        <w:t>___</w:t>
      </w:r>
      <w:r>
        <w:rPr>
          <w:b/>
          <w:i/>
          <w:sz w:val="20"/>
          <w:szCs w:val="28"/>
        </w:rPr>
        <w:t>Public and Non-Profit Administration</w:t>
      </w:r>
      <w:r>
        <w:rPr>
          <w:b/>
          <w:i/>
          <w:sz w:val="28"/>
          <w:szCs w:val="28"/>
        </w:rPr>
        <w:t>_________________</w:t>
      </w:r>
      <w:r w:rsidRPr="00EC559D">
        <w:rPr>
          <w:b/>
          <w:sz w:val="28"/>
          <w:szCs w:val="28"/>
        </w:rPr>
        <w:t xml:space="preserve">   /  </w:t>
      </w:r>
    </w:p>
    <w:p w:rsidR="00A008F3" w:rsidRDefault="00A70642" w:rsidP="00A008F3">
      <w:pPr>
        <w:rPr>
          <w:b/>
        </w:rPr>
      </w:pPr>
    </w:p>
    <w:p w:rsidR="00A008F3" w:rsidRPr="00EC559D" w:rsidRDefault="002544E2" w:rsidP="00A008F3">
      <w:pPr>
        <w:rPr>
          <w:b/>
          <w:sz w:val="28"/>
          <w:szCs w:val="28"/>
        </w:rPr>
      </w:pPr>
      <w:r w:rsidRPr="00EC559D">
        <w:rPr>
          <w:b/>
          <w:sz w:val="28"/>
          <w:szCs w:val="28"/>
        </w:rPr>
        <w:t>Meeting Summary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350"/>
        <w:gridCol w:w="1296"/>
        <w:gridCol w:w="1404"/>
        <w:gridCol w:w="810"/>
        <w:gridCol w:w="1350"/>
        <w:gridCol w:w="1080"/>
        <w:gridCol w:w="1530"/>
      </w:tblGrid>
      <w:tr w:rsidR="00A008F3" w:rsidRPr="00CD3E4B">
        <w:tc>
          <w:tcPr>
            <w:tcW w:w="828" w:type="dxa"/>
            <w:shd w:val="clear" w:color="auto" w:fill="auto"/>
          </w:tcPr>
          <w:p w:rsidR="00A008F3" w:rsidRPr="00CD3E4B" w:rsidRDefault="002544E2" w:rsidP="00A008F3">
            <w:pPr>
              <w:spacing w:after="0" w:line="240" w:lineRule="auto"/>
              <w:rPr>
                <w:sz w:val="20"/>
                <w:szCs w:val="20"/>
              </w:rPr>
            </w:pPr>
            <w:r w:rsidRPr="00CD3E4B">
              <w:rPr>
                <w:sz w:val="20"/>
                <w:szCs w:val="20"/>
              </w:rPr>
              <w:t>Date: 8/23/</w:t>
            </w:r>
          </w:p>
          <w:p w:rsidR="00A008F3" w:rsidRPr="00CD3E4B" w:rsidRDefault="002544E2" w:rsidP="00A008F3">
            <w:pPr>
              <w:spacing w:after="0" w:line="240" w:lineRule="auto"/>
              <w:rPr>
                <w:sz w:val="20"/>
                <w:szCs w:val="20"/>
              </w:rPr>
            </w:pPr>
            <w:r w:rsidRPr="00CD3E4B">
              <w:rPr>
                <w:sz w:val="20"/>
                <w:szCs w:val="20"/>
              </w:rPr>
              <w:t>2011</w:t>
            </w:r>
          </w:p>
        </w:tc>
        <w:tc>
          <w:tcPr>
            <w:tcW w:w="1350" w:type="dxa"/>
            <w:shd w:val="clear" w:color="auto" w:fill="auto"/>
          </w:tcPr>
          <w:p w:rsidR="00A008F3" w:rsidRPr="00CD3E4B" w:rsidRDefault="00A70642" w:rsidP="00A008F3">
            <w:pPr>
              <w:spacing w:after="0" w:line="240" w:lineRule="auto"/>
              <w:rPr>
                <w:sz w:val="20"/>
                <w:szCs w:val="20"/>
              </w:rPr>
            </w:pPr>
          </w:p>
        </w:tc>
        <w:tc>
          <w:tcPr>
            <w:tcW w:w="1296" w:type="dxa"/>
            <w:shd w:val="clear" w:color="auto" w:fill="auto"/>
          </w:tcPr>
          <w:p w:rsidR="00A008F3" w:rsidRPr="00CD3E4B" w:rsidRDefault="002544E2" w:rsidP="00A008F3">
            <w:pPr>
              <w:spacing w:after="0" w:line="240" w:lineRule="auto"/>
              <w:rPr>
                <w:sz w:val="20"/>
                <w:szCs w:val="20"/>
              </w:rPr>
            </w:pPr>
            <w:r w:rsidRPr="00CD3E4B">
              <w:rPr>
                <w:sz w:val="20"/>
                <w:szCs w:val="20"/>
              </w:rPr>
              <w:t>Start</w:t>
            </w:r>
          </w:p>
          <w:p w:rsidR="00A008F3" w:rsidRPr="00CD3E4B" w:rsidRDefault="002544E2" w:rsidP="00A008F3">
            <w:pPr>
              <w:spacing w:after="0" w:line="240" w:lineRule="auto"/>
              <w:rPr>
                <w:sz w:val="20"/>
                <w:szCs w:val="20"/>
              </w:rPr>
            </w:pPr>
            <w:r w:rsidRPr="00CD3E4B">
              <w:rPr>
                <w:sz w:val="20"/>
                <w:szCs w:val="20"/>
              </w:rPr>
              <w:t>Time:10:30</w:t>
            </w:r>
          </w:p>
        </w:tc>
        <w:tc>
          <w:tcPr>
            <w:tcW w:w="1404" w:type="dxa"/>
            <w:shd w:val="clear" w:color="auto" w:fill="auto"/>
          </w:tcPr>
          <w:p w:rsidR="00A008F3" w:rsidRPr="00CD3E4B" w:rsidRDefault="00A70642" w:rsidP="00A008F3">
            <w:pPr>
              <w:spacing w:after="0" w:line="240" w:lineRule="auto"/>
              <w:rPr>
                <w:sz w:val="20"/>
                <w:szCs w:val="20"/>
              </w:rPr>
            </w:pPr>
          </w:p>
        </w:tc>
        <w:tc>
          <w:tcPr>
            <w:tcW w:w="810" w:type="dxa"/>
            <w:shd w:val="clear" w:color="auto" w:fill="auto"/>
          </w:tcPr>
          <w:p w:rsidR="00A008F3" w:rsidRPr="00CD3E4B" w:rsidRDefault="002544E2" w:rsidP="00A008F3">
            <w:pPr>
              <w:spacing w:after="0" w:line="240" w:lineRule="auto"/>
              <w:rPr>
                <w:sz w:val="20"/>
                <w:szCs w:val="20"/>
              </w:rPr>
            </w:pPr>
            <w:r w:rsidRPr="00CD3E4B">
              <w:rPr>
                <w:sz w:val="20"/>
                <w:szCs w:val="20"/>
              </w:rPr>
              <w:t>End Time:</w:t>
            </w:r>
          </w:p>
          <w:p w:rsidR="00A008F3" w:rsidRPr="00CD3E4B" w:rsidRDefault="002544E2" w:rsidP="00A008F3">
            <w:pPr>
              <w:spacing w:after="0" w:line="240" w:lineRule="auto"/>
              <w:rPr>
                <w:sz w:val="20"/>
                <w:szCs w:val="20"/>
              </w:rPr>
            </w:pPr>
            <w:r w:rsidRPr="00CD3E4B">
              <w:rPr>
                <w:sz w:val="20"/>
                <w:szCs w:val="20"/>
              </w:rPr>
              <w:t>noon</w:t>
            </w:r>
          </w:p>
        </w:tc>
        <w:tc>
          <w:tcPr>
            <w:tcW w:w="1350" w:type="dxa"/>
            <w:shd w:val="clear" w:color="auto" w:fill="auto"/>
          </w:tcPr>
          <w:p w:rsidR="00A008F3" w:rsidRPr="00CD3E4B" w:rsidRDefault="00A70642" w:rsidP="00A008F3">
            <w:pPr>
              <w:spacing w:after="0" w:line="240" w:lineRule="auto"/>
              <w:rPr>
                <w:sz w:val="20"/>
                <w:szCs w:val="20"/>
              </w:rPr>
            </w:pPr>
          </w:p>
        </w:tc>
        <w:tc>
          <w:tcPr>
            <w:tcW w:w="1080" w:type="dxa"/>
            <w:shd w:val="clear" w:color="auto" w:fill="auto"/>
          </w:tcPr>
          <w:p w:rsidR="00A008F3" w:rsidRPr="00CD3E4B" w:rsidRDefault="002544E2" w:rsidP="00A008F3">
            <w:pPr>
              <w:spacing w:after="0" w:line="240" w:lineRule="auto"/>
              <w:rPr>
                <w:sz w:val="20"/>
                <w:szCs w:val="20"/>
              </w:rPr>
            </w:pPr>
            <w:r w:rsidRPr="00CD3E4B">
              <w:rPr>
                <w:sz w:val="20"/>
                <w:szCs w:val="20"/>
              </w:rPr>
              <w:t>Location:</w:t>
            </w:r>
          </w:p>
          <w:p w:rsidR="00A008F3" w:rsidRPr="00CD3E4B" w:rsidRDefault="002544E2" w:rsidP="00A008F3">
            <w:pPr>
              <w:spacing w:after="0" w:line="240" w:lineRule="auto"/>
              <w:rPr>
                <w:sz w:val="20"/>
                <w:szCs w:val="20"/>
              </w:rPr>
            </w:pPr>
            <w:r w:rsidRPr="00CD3E4B">
              <w:rPr>
                <w:sz w:val="20"/>
                <w:szCs w:val="20"/>
              </w:rPr>
              <w:t>MH: 405</w:t>
            </w:r>
          </w:p>
        </w:tc>
        <w:tc>
          <w:tcPr>
            <w:tcW w:w="1530" w:type="dxa"/>
            <w:shd w:val="clear" w:color="auto" w:fill="auto"/>
          </w:tcPr>
          <w:p w:rsidR="00A008F3" w:rsidRPr="00CD3E4B" w:rsidRDefault="00A70642" w:rsidP="00A008F3">
            <w:pPr>
              <w:spacing w:after="0" w:line="240" w:lineRule="auto"/>
              <w:rPr>
                <w:sz w:val="20"/>
                <w:szCs w:val="20"/>
              </w:rPr>
            </w:pPr>
          </w:p>
        </w:tc>
      </w:tr>
    </w:tbl>
    <w:p w:rsidR="00A008F3" w:rsidRDefault="00A70642" w:rsidP="00A008F3">
      <w:pPr>
        <w:spacing w:after="0"/>
        <w:rPr>
          <w:b/>
        </w:rPr>
      </w:pPr>
    </w:p>
    <w:p w:rsidR="00A008F3" w:rsidRPr="00EC559D" w:rsidRDefault="002544E2" w:rsidP="00A008F3">
      <w:pPr>
        <w:spacing w:after="0"/>
        <w:ind w:left="720" w:hanging="720"/>
      </w:pPr>
      <w:r>
        <w:rPr>
          <w:b/>
        </w:rPr>
        <w:t xml:space="preserve">Who was there </w:t>
      </w:r>
      <w:r w:rsidRPr="00EC559D">
        <w:rPr>
          <w:i/>
          <w:sz w:val="20"/>
          <w:szCs w:val="20"/>
        </w:rPr>
        <w:t>(Indicate attendees and who chaired the meeting</w:t>
      </w:r>
      <w:r>
        <w:rPr>
          <w:i/>
          <w:sz w:val="20"/>
          <w:szCs w:val="20"/>
        </w:rPr>
        <w:t>.</w:t>
      </w:r>
      <w:r w:rsidRPr="00EC559D">
        <w:rPr>
          <w:i/>
          <w:sz w:val="20"/>
          <w:szCs w:val="20"/>
        </w:rPr>
        <w:t>)</w:t>
      </w:r>
      <w:r>
        <w:rPr>
          <w:i/>
        </w:rPr>
        <w:t xml:space="preserve">  </w:t>
      </w:r>
    </w:p>
    <w:p w:rsidR="00A008F3" w:rsidRPr="00B37EBD" w:rsidRDefault="002544E2" w:rsidP="00A008F3">
      <w:pPr>
        <w:spacing w:after="0"/>
        <w:rPr>
          <w:b/>
          <w:sz w:val="20"/>
        </w:rPr>
      </w:pPr>
      <w:r w:rsidRPr="00B37EBD">
        <w:rPr>
          <w:b/>
          <w:sz w:val="20"/>
        </w:rPr>
        <w:t xml:space="preserve">Larry Brewster, Chair, Jo-Ellen </w:t>
      </w:r>
      <w:proofErr w:type="spellStart"/>
      <w:r w:rsidRPr="00B37EBD">
        <w:rPr>
          <w:b/>
          <w:sz w:val="20"/>
        </w:rPr>
        <w:t>Radetich</w:t>
      </w:r>
      <w:proofErr w:type="spellEnd"/>
      <w:r w:rsidRPr="00B37EBD">
        <w:rPr>
          <w:b/>
          <w:sz w:val="20"/>
        </w:rPr>
        <w:t xml:space="preserve">, Department assistant, Kim Connor, Richard Johnson III Richard Waters, Maury </w:t>
      </w:r>
      <w:proofErr w:type="spellStart"/>
      <w:r w:rsidRPr="00B37EBD">
        <w:rPr>
          <w:b/>
          <w:sz w:val="20"/>
        </w:rPr>
        <w:t>Penner</w:t>
      </w:r>
      <w:proofErr w:type="spellEnd"/>
      <w:r w:rsidRPr="00B37EBD">
        <w:rPr>
          <w:b/>
          <w:sz w:val="20"/>
        </w:rPr>
        <w:t xml:space="preserve">, Tim </w:t>
      </w:r>
      <w:proofErr w:type="spellStart"/>
      <w:r w:rsidRPr="00B37EBD">
        <w:rPr>
          <w:b/>
          <w:sz w:val="20"/>
        </w:rPr>
        <w:t>Loney</w:t>
      </w:r>
      <w:proofErr w:type="spellEnd"/>
      <w:r w:rsidRPr="00B37EBD">
        <w:rPr>
          <w:b/>
          <w:sz w:val="20"/>
        </w:rPr>
        <w:t xml:space="preserve">, Michael O’Neill, Monika Hudson, Kathleen Fletcher, Rich Callahan, </w:t>
      </w:r>
      <w:proofErr w:type="spellStart"/>
      <w:r w:rsidRPr="00B37EBD">
        <w:rPr>
          <w:b/>
          <w:sz w:val="20"/>
        </w:rPr>
        <w:t>Gleb</w:t>
      </w:r>
      <w:proofErr w:type="spellEnd"/>
      <w:r w:rsidRPr="00B37EBD">
        <w:rPr>
          <w:b/>
          <w:sz w:val="20"/>
        </w:rPr>
        <w:t xml:space="preserve"> </w:t>
      </w:r>
      <w:proofErr w:type="spellStart"/>
      <w:r w:rsidRPr="00B37EBD">
        <w:rPr>
          <w:b/>
          <w:sz w:val="20"/>
        </w:rPr>
        <w:t>Nikitenko</w:t>
      </w:r>
      <w:proofErr w:type="spellEnd"/>
      <w:r w:rsidRPr="00B37EBD">
        <w:rPr>
          <w:b/>
          <w:sz w:val="20"/>
        </w:rPr>
        <w:t xml:space="preserve">. Absent:  Stan </w:t>
      </w:r>
      <w:proofErr w:type="spellStart"/>
      <w:r w:rsidRPr="00B37EBD">
        <w:rPr>
          <w:b/>
          <w:sz w:val="20"/>
        </w:rPr>
        <w:t>Buller</w:t>
      </w:r>
      <w:proofErr w:type="spellEnd"/>
    </w:p>
    <w:p w:rsidR="00A008F3" w:rsidRPr="000764B6" w:rsidRDefault="002544E2" w:rsidP="00A008F3">
      <w:pPr>
        <w:spacing w:after="0"/>
        <w:rPr>
          <w:b/>
          <w:sz w:val="22"/>
        </w:rPr>
      </w:pPr>
      <w:r w:rsidRPr="00B37EBD">
        <w:rPr>
          <w:b/>
          <w:sz w:val="20"/>
        </w:rPr>
        <w:t>Guests</w:t>
      </w:r>
      <w:r w:rsidRPr="000764B6">
        <w:rPr>
          <w:b/>
          <w:sz w:val="22"/>
        </w:rPr>
        <w:t xml:space="preserve">: </w:t>
      </w:r>
      <w:r w:rsidRPr="000764B6">
        <w:rPr>
          <w:rFonts w:ascii="Lucida Grande" w:hAnsi="Lucida Grande"/>
          <w:color w:val="000000"/>
          <w:sz w:val="22"/>
        </w:rPr>
        <w:t xml:space="preserve">Renate </w:t>
      </w:r>
      <w:proofErr w:type="spellStart"/>
      <w:r w:rsidRPr="000764B6">
        <w:rPr>
          <w:rFonts w:ascii="Lucida Grande" w:hAnsi="Lucida Grande"/>
          <w:color w:val="000000"/>
          <w:sz w:val="22"/>
        </w:rPr>
        <w:t>Otterhack</w:t>
      </w:r>
      <w:proofErr w:type="spellEnd"/>
      <w:r w:rsidRPr="000764B6">
        <w:rPr>
          <w:rFonts w:ascii="Lucida Grande" w:hAnsi="Lucida Grande"/>
          <w:color w:val="000000"/>
          <w:sz w:val="22"/>
        </w:rPr>
        <w:t xml:space="preserve"> and Paola Andre </w:t>
      </w:r>
      <w:proofErr w:type="spellStart"/>
      <w:r w:rsidRPr="000764B6">
        <w:rPr>
          <w:rFonts w:ascii="Lucida Grande" w:hAnsi="Lucida Grande"/>
          <w:color w:val="000000"/>
          <w:sz w:val="22"/>
        </w:rPr>
        <w:t>Cespedes</w:t>
      </w:r>
      <w:proofErr w:type="spellEnd"/>
      <w:r w:rsidRPr="000764B6">
        <w:rPr>
          <w:rFonts w:ascii="Lucida Grande" w:hAnsi="Lucida Grande"/>
          <w:color w:val="000000"/>
          <w:sz w:val="22"/>
        </w:rPr>
        <w:t xml:space="preserve"> de </w:t>
      </w:r>
      <w:proofErr w:type="spellStart"/>
      <w:r w:rsidRPr="000764B6">
        <w:rPr>
          <w:rFonts w:ascii="Lucida Grande" w:hAnsi="Lucida Grande"/>
          <w:color w:val="000000"/>
          <w:sz w:val="22"/>
        </w:rPr>
        <w:t>Ergueta</w:t>
      </w:r>
      <w:proofErr w:type="spellEnd"/>
      <w:r w:rsidRPr="000764B6">
        <w:rPr>
          <w:rFonts w:ascii="Lucida Grande" w:hAnsi="Lucida Grande"/>
          <w:color w:val="000000"/>
          <w:sz w:val="22"/>
        </w:rPr>
        <w:t xml:space="preserve">, Alan </w:t>
      </w:r>
      <w:proofErr w:type="spellStart"/>
      <w:r w:rsidRPr="00A6534F">
        <w:rPr>
          <w:rFonts w:ascii="HelveticaNeue-Bold" w:hAnsi="HelveticaNeue-Bold" w:cs="HelveticaNeue-Bold"/>
          <w:bCs/>
          <w:sz w:val="22"/>
          <w:szCs w:val="26"/>
          <w:lang w:bidi="en-US"/>
        </w:rPr>
        <w:t>Ziajka</w:t>
      </w:r>
      <w:proofErr w:type="spellEnd"/>
    </w:p>
    <w:p w:rsidR="00A008F3" w:rsidRDefault="00A70642" w:rsidP="00A008F3">
      <w:pPr>
        <w:spacing w:after="0"/>
        <w:rPr>
          <w:b/>
        </w:rPr>
      </w:pPr>
    </w:p>
    <w:p w:rsidR="00A008F3" w:rsidRPr="00B37EBD" w:rsidRDefault="002544E2" w:rsidP="00A008F3">
      <w:pPr>
        <w:spacing w:after="0"/>
        <w:ind w:left="720" w:hanging="720"/>
        <w:rPr>
          <w:sz w:val="20"/>
        </w:rPr>
      </w:pPr>
      <w:r>
        <w:rPr>
          <w:b/>
        </w:rPr>
        <w:t xml:space="preserve">Topic of Meeting </w:t>
      </w:r>
      <w:r w:rsidRPr="00EC559D">
        <w:rPr>
          <w:i/>
          <w:sz w:val="20"/>
          <w:szCs w:val="20"/>
        </w:rPr>
        <w:t>(Attach a copy of the agenda if possible</w:t>
      </w:r>
      <w:r>
        <w:rPr>
          <w:i/>
          <w:sz w:val="20"/>
          <w:szCs w:val="20"/>
        </w:rPr>
        <w:t>.</w:t>
      </w:r>
      <w:r w:rsidRPr="00EC559D">
        <w:rPr>
          <w:i/>
          <w:sz w:val="20"/>
          <w:szCs w:val="20"/>
        </w:rPr>
        <w:t>)</w:t>
      </w:r>
      <w:r>
        <w:t xml:space="preserve">   </w:t>
      </w:r>
    </w:p>
    <w:p w:rsidR="00A008F3" w:rsidRPr="000764B6" w:rsidRDefault="002544E2" w:rsidP="00A008F3">
      <w:pPr>
        <w:rPr>
          <w:sz w:val="20"/>
        </w:rPr>
      </w:pPr>
      <w:r w:rsidRPr="00B37EBD">
        <w:rPr>
          <w:sz w:val="20"/>
        </w:rPr>
        <w:t>Elections will be held in the fall for a new permanent Department Chair.  This is a critical year with NASPAA coming in the spring. Welcome to new faculty (Waters, Callahan</w:t>
      </w:r>
      <w:r w:rsidR="00650974">
        <w:rPr>
          <w:sz w:val="20"/>
        </w:rPr>
        <w:t>, Hudson</w:t>
      </w:r>
      <w:r w:rsidRPr="00B37EBD">
        <w:rPr>
          <w:sz w:val="20"/>
        </w:rPr>
        <w:t xml:space="preserve"> and Johnson)   MPA is going through accreditation process.  Enrollments met and exceeded the </w:t>
      </w:r>
      <w:r w:rsidRPr="000764B6">
        <w:rPr>
          <w:sz w:val="20"/>
        </w:rPr>
        <w:t xml:space="preserve">projections.  Groups can split at 40 students, but not below. </w:t>
      </w:r>
    </w:p>
    <w:p w:rsidR="00A008F3" w:rsidRPr="000764B6" w:rsidRDefault="002544E2" w:rsidP="00A008F3">
      <w:pPr>
        <w:spacing w:after="0"/>
        <w:ind w:left="720" w:hanging="720"/>
        <w:rPr>
          <w:sz w:val="20"/>
        </w:rPr>
      </w:pPr>
      <w:r w:rsidRPr="000764B6">
        <w:rPr>
          <w:b/>
          <w:sz w:val="20"/>
        </w:rPr>
        <w:t xml:space="preserve">Decisions Made and Policies Approved </w:t>
      </w:r>
      <w:r w:rsidRPr="000764B6">
        <w:rPr>
          <w:i/>
          <w:sz w:val="20"/>
          <w:szCs w:val="20"/>
        </w:rPr>
        <w:t>(Provide a clear statement of decisions and policies. If a vote was taken, indicate the vote count.)</w:t>
      </w:r>
      <w:r w:rsidRPr="000764B6">
        <w:rPr>
          <w:sz w:val="20"/>
          <w:u w:val="single"/>
        </w:rPr>
        <w:t xml:space="preserve">  </w:t>
      </w:r>
      <w:r w:rsidRPr="000764B6">
        <w:rPr>
          <w:sz w:val="20"/>
        </w:rPr>
        <w:t>Wordsmith changes in the Program Mission statement (i.e. “</w:t>
      </w:r>
      <w:r w:rsidRPr="000764B6">
        <w:rPr>
          <w:b/>
          <w:sz w:val="20"/>
        </w:rPr>
        <w:t>The Program Design and Delivery</w:t>
      </w:r>
      <w:r w:rsidRPr="000764B6">
        <w:rPr>
          <w:sz w:val="20"/>
        </w:rPr>
        <w:t xml:space="preserve"> draws on 470 years….”  Instead of “This draws on 470 years of. . .</w:t>
      </w:r>
      <w:r w:rsidR="003A1580">
        <w:rPr>
          <w:sz w:val="20"/>
        </w:rPr>
        <w:t xml:space="preserve"> A second change in the mission statement was made to the sentence that read, "transforming learning into acts of consequence to serve our communities" to "transforming learning into actions that serve our communities."</w:t>
      </w:r>
    </w:p>
    <w:p w:rsidR="00A008F3" w:rsidRPr="000764B6" w:rsidRDefault="002544E2" w:rsidP="00A008F3">
      <w:pPr>
        <w:spacing w:after="0"/>
        <w:ind w:left="720" w:hanging="720"/>
        <w:rPr>
          <w:sz w:val="20"/>
        </w:rPr>
      </w:pPr>
      <w:r w:rsidRPr="000764B6">
        <w:rPr>
          <w:sz w:val="20"/>
        </w:rPr>
        <w:t xml:space="preserve">Visiting scholar opportunities will be </w:t>
      </w:r>
      <w:r w:rsidR="00AC54CE">
        <w:rPr>
          <w:sz w:val="20"/>
        </w:rPr>
        <w:t xml:space="preserve">explored with the Dean's office. We will delay international training opportunities until after NASPAA accreditation given </w:t>
      </w:r>
      <w:r w:rsidR="00B752CD">
        <w:rPr>
          <w:sz w:val="20"/>
        </w:rPr>
        <w:t>the many demands on faculty time.</w:t>
      </w:r>
      <w:r w:rsidR="003A1580">
        <w:rPr>
          <w:sz w:val="20"/>
        </w:rPr>
        <w:t xml:space="preserve"> </w:t>
      </w:r>
      <w:r w:rsidRPr="000764B6">
        <w:rPr>
          <w:sz w:val="20"/>
        </w:rPr>
        <w:t xml:space="preserve"> </w:t>
      </w:r>
    </w:p>
    <w:p w:rsidR="00A008F3" w:rsidRPr="000764B6" w:rsidRDefault="002544E2" w:rsidP="00A008F3">
      <w:pPr>
        <w:spacing w:after="0"/>
        <w:ind w:left="720" w:hanging="720"/>
        <w:rPr>
          <w:sz w:val="20"/>
        </w:rPr>
      </w:pPr>
      <w:r w:rsidRPr="000764B6">
        <w:rPr>
          <w:sz w:val="20"/>
        </w:rPr>
        <w:t>Lynette Ferguson (Director of Graduate Career Services) will come to the next meeting to discuss student employment</w:t>
      </w:r>
    </w:p>
    <w:p w:rsidR="00A008F3" w:rsidRPr="00114AF7" w:rsidRDefault="00A70642" w:rsidP="00A008F3">
      <w:pPr>
        <w:spacing w:after="0"/>
        <w:ind w:left="720" w:hanging="720"/>
        <w:rPr>
          <w:b/>
        </w:rPr>
      </w:pPr>
    </w:p>
    <w:p w:rsidR="00A008F3" w:rsidRPr="00114AF7" w:rsidRDefault="00A70642" w:rsidP="00A008F3">
      <w:pPr>
        <w:spacing w:after="0"/>
        <w:ind w:left="720" w:hanging="720"/>
        <w:rPr>
          <w:b/>
        </w:rPr>
      </w:pPr>
    </w:p>
    <w:p w:rsidR="00A008F3" w:rsidRPr="00B37EBD" w:rsidRDefault="002544E2" w:rsidP="00A008F3">
      <w:pPr>
        <w:spacing w:after="0"/>
        <w:ind w:left="720" w:hanging="720"/>
        <w:rPr>
          <w:sz w:val="20"/>
        </w:rPr>
      </w:pPr>
      <w:r w:rsidRPr="00114AF7">
        <w:rPr>
          <w:b/>
        </w:rPr>
        <w:t>Action Items to be addressed after the meeting</w:t>
      </w:r>
      <w:r w:rsidRPr="00EC559D">
        <w:rPr>
          <w:b/>
          <w:sz w:val="20"/>
          <w:szCs w:val="20"/>
        </w:rPr>
        <w:t xml:space="preserve"> </w:t>
      </w:r>
      <w:r w:rsidRPr="00EC559D">
        <w:rPr>
          <w:i/>
          <w:sz w:val="20"/>
          <w:szCs w:val="20"/>
        </w:rPr>
        <w:t>(</w:t>
      </w:r>
      <w:r>
        <w:rPr>
          <w:i/>
          <w:sz w:val="20"/>
          <w:szCs w:val="20"/>
        </w:rPr>
        <w:t>S</w:t>
      </w:r>
      <w:r w:rsidRPr="00EC559D">
        <w:rPr>
          <w:i/>
          <w:sz w:val="20"/>
          <w:szCs w:val="20"/>
        </w:rPr>
        <w:t>tate</w:t>
      </w:r>
      <w:r>
        <w:rPr>
          <w:i/>
          <w:sz w:val="20"/>
          <w:szCs w:val="20"/>
        </w:rPr>
        <w:t xml:space="preserve"> the action item; i</w:t>
      </w:r>
      <w:r w:rsidRPr="00EC559D">
        <w:rPr>
          <w:i/>
          <w:sz w:val="20"/>
          <w:szCs w:val="20"/>
        </w:rPr>
        <w:t>ndicate the name of the person responsible for it</w:t>
      </w:r>
      <w:r>
        <w:rPr>
          <w:i/>
          <w:sz w:val="20"/>
          <w:szCs w:val="20"/>
        </w:rPr>
        <w:t>, and the date it is to be completed.</w:t>
      </w:r>
      <w:r w:rsidRPr="00EC559D">
        <w:rPr>
          <w:i/>
          <w:sz w:val="20"/>
          <w:szCs w:val="20"/>
        </w:rPr>
        <w:t>)</w:t>
      </w:r>
      <w:r>
        <w:t xml:space="preserve">   </w:t>
      </w:r>
    </w:p>
    <w:p w:rsidR="00A008F3" w:rsidRPr="00B37EBD" w:rsidRDefault="002544E2" w:rsidP="00A008F3">
      <w:pPr>
        <w:rPr>
          <w:sz w:val="20"/>
        </w:rPr>
      </w:pPr>
      <w:r w:rsidRPr="00B37EBD">
        <w:rPr>
          <w:sz w:val="20"/>
        </w:rPr>
        <w:t>10:30 AM- time agreed for future meetings</w:t>
      </w:r>
    </w:p>
    <w:p w:rsidR="00A008F3" w:rsidRPr="00B37EBD" w:rsidRDefault="002544E2" w:rsidP="00A008F3">
      <w:pPr>
        <w:rPr>
          <w:sz w:val="20"/>
        </w:rPr>
      </w:pPr>
      <w:r w:rsidRPr="00B37EBD">
        <w:rPr>
          <w:sz w:val="20"/>
        </w:rPr>
        <w:t>Program website needs to be updated</w:t>
      </w:r>
    </w:p>
    <w:p w:rsidR="00A008F3" w:rsidRPr="00B37EBD" w:rsidRDefault="002544E2" w:rsidP="00A008F3">
      <w:pPr>
        <w:rPr>
          <w:sz w:val="20"/>
        </w:rPr>
      </w:pPr>
      <w:r w:rsidRPr="00B37EBD">
        <w:rPr>
          <w:sz w:val="20"/>
        </w:rPr>
        <w:t>Honor code- - to be included in all future syllabi- please submit to Katherine Green</w:t>
      </w:r>
    </w:p>
    <w:p w:rsidR="00A008F3" w:rsidRPr="00B37EBD" w:rsidRDefault="002544E2" w:rsidP="00A008F3">
      <w:pPr>
        <w:rPr>
          <w:sz w:val="20"/>
        </w:rPr>
      </w:pPr>
      <w:r w:rsidRPr="00B37EBD">
        <w:rPr>
          <w:sz w:val="20"/>
        </w:rPr>
        <w:t xml:space="preserve">Everyone is encouraged to share professional activities so that the PNA Department can get some “equal airtime” on USF media sites.  Increasing the media imprint is a goal of Director Brewster.  </w:t>
      </w:r>
    </w:p>
    <w:p w:rsidR="00A008F3" w:rsidRPr="00B37EBD" w:rsidRDefault="002544E2" w:rsidP="00A008F3">
      <w:pPr>
        <w:rPr>
          <w:sz w:val="20"/>
        </w:rPr>
      </w:pPr>
      <w:r w:rsidRPr="00B37EBD">
        <w:rPr>
          <w:sz w:val="20"/>
        </w:rPr>
        <w:t xml:space="preserve">Richard Johnson will lead the discussion about diversity at the </w:t>
      </w:r>
      <w:r w:rsidR="003A1580">
        <w:rPr>
          <w:sz w:val="20"/>
        </w:rPr>
        <w:t>September 20th</w:t>
      </w:r>
      <w:r w:rsidRPr="00B37EBD">
        <w:rPr>
          <w:sz w:val="20"/>
        </w:rPr>
        <w:t xml:space="preserve"> meeting</w:t>
      </w:r>
    </w:p>
    <w:p w:rsidR="00A008F3" w:rsidRPr="00B37EBD" w:rsidRDefault="002544E2" w:rsidP="00A008F3">
      <w:pPr>
        <w:rPr>
          <w:sz w:val="20"/>
        </w:rPr>
      </w:pPr>
      <w:r w:rsidRPr="00B37EBD">
        <w:rPr>
          <w:sz w:val="20"/>
        </w:rPr>
        <w:t xml:space="preserve">Advisory Board volunteers:  Richard Johnson, Monika Hudson, Rich Callahan, and </w:t>
      </w:r>
      <w:proofErr w:type="spellStart"/>
      <w:r w:rsidRPr="00B37EBD">
        <w:rPr>
          <w:sz w:val="20"/>
        </w:rPr>
        <w:t>Gleb</w:t>
      </w:r>
      <w:proofErr w:type="spellEnd"/>
      <w:r w:rsidRPr="00B37EBD">
        <w:rPr>
          <w:sz w:val="20"/>
        </w:rPr>
        <w:t xml:space="preserve"> </w:t>
      </w:r>
      <w:proofErr w:type="spellStart"/>
      <w:r w:rsidRPr="00B37EBD">
        <w:rPr>
          <w:sz w:val="20"/>
        </w:rPr>
        <w:t>Nikitenko</w:t>
      </w:r>
      <w:proofErr w:type="spellEnd"/>
      <w:r w:rsidR="003A1580">
        <w:rPr>
          <w:sz w:val="20"/>
        </w:rPr>
        <w:t xml:space="preserve"> will assist Larry Brewster in vetting and inviting prospective board members. All faculty are encouraged to recommend potential board members. The goal is to have an active advisory board by spring 2012.</w:t>
      </w:r>
    </w:p>
    <w:p w:rsidR="00A008F3" w:rsidRDefault="00A70642" w:rsidP="00A008F3"/>
    <w:p w:rsidR="00A008F3" w:rsidRDefault="00A70642" w:rsidP="00A008F3"/>
    <w:p w:rsidR="00A008F3" w:rsidRDefault="00A70642" w:rsidP="00A008F3"/>
    <w:sectPr w:rsidR="00A008F3" w:rsidSect="00A008F3">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642" w:rsidRDefault="00A70642" w:rsidP="00A008F3">
      <w:pPr>
        <w:spacing w:after="0" w:line="240" w:lineRule="auto"/>
      </w:pPr>
      <w:r>
        <w:separator/>
      </w:r>
    </w:p>
  </w:endnote>
  <w:endnote w:type="continuationSeparator" w:id="0">
    <w:p w:rsidR="00A70642" w:rsidRDefault="00A70642" w:rsidP="00A00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0" w:usb1="00000000" w:usb2="0000000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8F3" w:rsidRDefault="002544E2" w:rsidP="00A008F3">
    <w:pPr>
      <w:pStyle w:val="Footer"/>
      <w:rPr>
        <w:sz w:val="16"/>
        <w:szCs w:val="16"/>
      </w:rPr>
    </w:pPr>
    <w:r w:rsidRPr="00CD3E4B">
      <w:rPr>
        <w:color w:val="808080"/>
        <w:sz w:val="16"/>
        <w:szCs w:val="16"/>
      </w:rPr>
      <w:t xml:space="preserve">Submit to Laura </w:t>
    </w:r>
    <w:proofErr w:type="spellStart"/>
    <w:r w:rsidRPr="00CD3E4B">
      <w:rPr>
        <w:color w:val="808080"/>
        <w:sz w:val="16"/>
        <w:szCs w:val="16"/>
      </w:rPr>
      <w:t>Camara</w:t>
    </w:r>
    <w:proofErr w:type="spellEnd"/>
    <w:r w:rsidRPr="00CD3E4B">
      <w:rPr>
        <w:color w:val="808080"/>
        <w:sz w:val="16"/>
        <w:szCs w:val="16"/>
      </w:rPr>
      <w:t>, Manager, Academic Planning &amp; Resources,                                                                                      8/10/11</w:t>
    </w:r>
  </w:p>
  <w:p w:rsidR="00A008F3" w:rsidRPr="00CD3E4B" w:rsidRDefault="002544E2" w:rsidP="00A008F3">
    <w:pPr>
      <w:pStyle w:val="Footer"/>
      <w:rPr>
        <w:color w:val="808080"/>
        <w:sz w:val="16"/>
        <w:szCs w:val="16"/>
      </w:rPr>
    </w:pPr>
    <w:r w:rsidRPr="00CD3E4B">
      <w:rPr>
        <w:color w:val="808080"/>
        <w:sz w:val="16"/>
        <w:szCs w:val="16"/>
      </w:rPr>
      <w:t xml:space="preserve">for archiving immediately after meeting.                                                                                                                                      Meeting Summary Template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642" w:rsidRDefault="00A70642" w:rsidP="00A008F3">
      <w:pPr>
        <w:spacing w:after="0" w:line="240" w:lineRule="auto"/>
      </w:pPr>
      <w:r>
        <w:separator/>
      </w:r>
    </w:p>
  </w:footnote>
  <w:footnote w:type="continuationSeparator" w:id="0">
    <w:p w:rsidR="00A70642" w:rsidRDefault="00A70642" w:rsidP="00A008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hdrShapeDefaults>
    <o:shapedefaults v:ext="edit" spidmax="6146"/>
  </w:hdrShapeDefaults>
  <w:footnotePr>
    <w:footnote w:id="-1"/>
    <w:footnote w:id="0"/>
  </w:footnotePr>
  <w:endnotePr>
    <w:endnote w:id="-1"/>
    <w:endnote w:id="0"/>
  </w:endnotePr>
  <w:compat/>
  <w:rsids>
    <w:rsidRoot w:val="002544E2"/>
    <w:rsid w:val="002544E2"/>
    <w:rsid w:val="003A1580"/>
    <w:rsid w:val="00650974"/>
    <w:rsid w:val="00755AC5"/>
    <w:rsid w:val="009D1A24"/>
    <w:rsid w:val="00A70642"/>
    <w:rsid w:val="00AC54CE"/>
    <w:rsid w:val="00B75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71"/>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7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E98"/>
  </w:style>
  <w:style w:type="paragraph" w:styleId="Footer">
    <w:name w:val="footer"/>
    <w:basedOn w:val="Normal"/>
    <w:link w:val="FooterChar"/>
    <w:uiPriority w:val="99"/>
    <w:unhideWhenUsed/>
    <w:rsid w:val="00827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E98"/>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Temp\Low\Temporary%20Internet%20Files\Content.IE5\CPCVFPAM\Meeting_Summary__frank_Template_(8-10-11)%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Meeting_Summary__frank_Template_(8-10-11)[1]</Template>
  <TotalTime>51</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San Francisco</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2011-07-07T23:35:00Z</cp:lastPrinted>
  <dcterms:created xsi:type="dcterms:W3CDTF">2011-08-31T00:50:00Z</dcterms:created>
  <dcterms:modified xsi:type="dcterms:W3CDTF">2011-08-31T19:12:00Z</dcterms:modified>
</cp:coreProperties>
</file>